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E65AA" w14:textId="77777777" w:rsidR="006F52EE" w:rsidRDefault="0057563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Соглашение</w:t>
      </w:r>
    </w:p>
    <w:p w14:paraId="5D2F12D5" w14:textId="77777777" w:rsidR="006F52EE" w:rsidRDefault="0057563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 предоставлении мониторинговой информации в сфере навигационной деятельности</w:t>
      </w:r>
    </w:p>
    <w:p w14:paraId="71F25AAE" w14:textId="77777777" w:rsidR="006F52EE" w:rsidRDefault="006F52EE">
      <w:pPr>
        <w:ind w:firstLine="540"/>
        <w:jc w:val="center"/>
        <w:rPr>
          <w:rFonts w:ascii="Arial" w:hAnsi="Arial" w:cs="Arial"/>
          <w:b/>
          <w:sz w:val="26"/>
          <w:szCs w:val="26"/>
        </w:rPr>
      </w:pPr>
    </w:p>
    <w:p w14:paraId="798DB53A" w14:textId="77777777" w:rsidR="006F52EE" w:rsidRDefault="0057563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г. Тюмень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    «____»______ 20__ г.</w:t>
      </w:r>
    </w:p>
    <w:p w14:paraId="4C6E6130" w14:textId="77777777" w:rsidR="006F52EE" w:rsidRDefault="006F52EE">
      <w:pPr>
        <w:jc w:val="both"/>
        <w:rPr>
          <w:rFonts w:ascii="Arial" w:hAnsi="Arial" w:cs="Arial"/>
          <w:sz w:val="26"/>
          <w:szCs w:val="26"/>
        </w:rPr>
      </w:pPr>
    </w:p>
    <w:p w14:paraId="419356AA" w14:textId="77777777" w:rsidR="006F52EE" w:rsidRDefault="0057563A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Государственное казенное учреждение Тюменской области «Центр информационных технологий Тюменской области</w:t>
      </w:r>
      <w:r>
        <w:rPr>
          <w:rFonts w:ascii="Arial" w:hAnsi="Arial" w:cs="Arial"/>
          <w:sz w:val="26"/>
          <w:szCs w:val="26"/>
        </w:rPr>
        <w:t>» (далее – Оператор), в лице директора Усманова Артура Рифовича, действующего на основании Устава, с одной стороны, и ___________ (далее – Пользователь), в лице ____________, действующего на основании __________, с другой стороны, в дальнейшем именуемые Ст</w:t>
      </w:r>
      <w:r>
        <w:rPr>
          <w:rFonts w:ascii="Arial" w:hAnsi="Arial" w:cs="Arial"/>
          <w:sz w:val="26"/>
          <w:szCs w:val="26"/>
        </w:rPr>
        <w:t>ороны, а каждая по отдельности – Сторона, заключили настоящее соглашение о взаимодействии в рамках функционирования региональной навигационно-информационной системы Тюменской области (далее – Соглашение) о нижеследующем.</w:t>
      </w:r>
    </w:p>
    <w:p w14:paraId="4C7084A2" w14:textId="77777777" w:rsidR="006F52EE" w:rsidRDefault="006F52EE">
      <w:pPr>
        <w:ind w:firstLine="540"/>
        <w:jc w:val="both"/>
        <w:rPr>
          <w:rFonts w:ascii="Arial" w:hAnsi="Arial" w:cs="Arial"/>
          <w:sz w:val="26"/>
          <w:szCs w:val="26"/>
        </w:rPr>
      </w:pPr>
    </w:p>
    <w:p w14:paraId="139D22A1" w14:textId="77777777" w:rsidR="006F52EE" w:rsidRDefault="0057563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1. Термины и определения</w:t>
      </w:r>
    </w:p>
    <w:p w14:paraId="0E4643EC" w14:textId="77777777" w:rsidR="006F52EE" w:rsidRDefault="006F52EE">
      <w:pPr>
        <w:jc w:val="center"/>
        <w:rPr>
          <w:rFonts w:ascii="Arial" w:hAnsi="Arial" w:cs="Arial"/>
          <w:sz w:val="26"/>
          <w:szCs w:val="26"/>
        </w:rPr>
      </w:pPr>
    </w:p>
    <w:p w14:paraId="38A86883" w14:textId="77777777" w:rsidR="006F52EE" w:rsidRDefault="0057563A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настоя</w:t>
      </w:r>
      <w:r>
        <w:rPr>
          <w:rFonts w:ascii="Arial" w:hAnsi="Arial" w:cs="Arial"/>
          <w:sz w:val="26"/>
          <w:szCs w:val="26"/>
        </w:rPr>
        <w:t>щем Соглашении используются следующие основные понятия:</w:t>
      </w:r>
    </w:p>
    <w:p w14:paraId="2FBE30C6" w14:textId="77777777" w:rsidR="006F52EE" w:rsidRDefault="0057563A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</w:t>
      </w:r>
      <w:r>
        <w:rPr>
          <w:rFonts w:ascii="Arial" w:hAnsi="Arial" w:cs="Arial"/>
          <w:sz w:val="26"/>
          <w:szCs w:val="26"/>
        </w:rPr>
        <w:tab/>
        <w:t>РНИС ТО (Система) – региональная навигационно-информационная система Тюменской области.</w:t>
      </w:r>
    </w:p>
    <w:p w14:paraId="2E61E4D6" w14:textId="77777777" w:rsidR="006F52EE" w:rsidRDefault="0057563A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</w:t>
      </w:r>
      <w:r>
        <w:rPr>
          <w:rFonts w:ascii="Arial" w:hAnsi="Arial" w:cs="Arial"/>
          <w:sz w:val="26"/>
          <w:szCs w:val="26"/>
        </w:rPr>
        <w:tab/>
        <w:t>Собственник РНИС ТО – Тюменская область в лице Департамента информатизации Тюменской области.</w:t>
      </w:r>
    </w:p>
    <w:p w14:paraId="7C94B576" w14:textId="77777777" w:rsidR="006F52EE" w:rsidRDefault="0057563A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1.3.</w:t>
      </w:r>
      <w:r>
        <w:rPr>
          <w:rFonts w:ascii="Arial" w:hAnsi="Arial" w:cs="Arial"/>
          <w:sz w:val="26"/>
          <w:szCs w:val="26"/>
        </w:rPr>
        <w:tab/>
        <w:t>Оп</w:t>
      </w:r>
      <w:r>
        <w:rPr>
          <w:rFonts w:ascii="Arial" w:hAnsi="Arial" w:cs="Arial"/>
          <w:sz w:val="26"/>
          <w:szCs w:val="26"/>
        </w:rPr>
        <w:t>ератор РНИС ТО – организация Тюменской области, в лице Государственного казенного учреждения Тюменской области «Центр информационных технологий Тюменской области», являющегося государственным заказчиком создания, эксплуатации и развития (модернизации) РНИС</w:t>
      </w:r>
      <w:r>
        <w:rPr>
          <w:rFonts w:ascii="Arial" w:hAnsi="Arial" w:cs="Arial"/>
          <w:sz w:val="26"/>
          <w:szCs w:val="26"/>
        </w:rPr>
        <w:t xml:space="preserve"> ТО, а также осуществляющего техническую поддержку РНИС ТО, обеспечивающего бесперебойное функционирование РНИС ТО, оказывающего услуги по предоставлению мониторинговой информации в сфере навигационной деятельности пользователям РНИС ТО и иные функции, пре</w:t>
      </w:r>
      <w:r>
        <w:rPr>
          <w:rFonts w:ascii="Arial" w:hAnsi="Arial" w:cs="Arial"/>
          <w:sz w:val="26"/>
          <w:szCs w:val="26"/>
        </w:rPr>
        <w:t>дусмотренные действующим законодательством.</w:t>
      </w:r>
    </w:p>
    <w:p w14:paraId="70027A42" w14:textId="77777777" w:rsidR="006F52EE" w:rsidRDefault="0057563A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1.4.</w:t>
      </w:r>
      <w:r>
        <w:rPr>
          <w:rFonts w:ascii="Arial" w:hAnsi="Arial" w:cs="Arial"/>
          <w:sz w:val="26"/>
          <w:szCs w:val="26"/>
        </w:rPr>
        <w:tab/>
        <w:t>Пользователи РНИС ТО – исполнительные органы государственной власти, органы местного самоуправления муниципальных образований Тюменской области, подведомственные указанным органам учреждения и организации; э</w:t>
      </w:r>
      <w:r>
        <w:rPr>
          <w:rFonts w:ascii="Arial" w:hAnsi="Arial" w:cs="Arial"/>
          <w:sz w:val="26"/>
          <w:szCs w:val="26"/>
        </w:rPr>
        <w:t>кстренные и оперативные службы Российской Федерации, Тюменской области и муниципальных образований Тюменской области; иные организации различных форм собственности, индивидуальные предприниматели и физические лица.</w:t>
      </w:r>
    </w:p>
    <w:p w14:paraId="2A1922B3" w14:textId="77777777" w:rsidR="006F52EE" w:rsidRDefault="0057563A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1.5.</w:t>
      </w:r>
      <w:r>
        <w:rPr>
          <w:rFonts w:ascii="Arial" w:hAnsi="Arial" w:cs="Arial"/>
          <w:sz w:val="26"/>
          <w:szCs w:val="26"/>
        </w:rPr>
        <w:tab/>
        <w:t>Участники РНИС ТО – Собственник РНИС</w:t>
      </w:r>
      <w:r>
        <w:rPr>
          <w:rFonts w:ascii="Arial" w:hAnsi="Arial" w:cs="Arial"/>
          <w:sz w:val="26"/>
          <w:szCs w:val="26"/>
        </w:rPr>
        <w:t xml:space="preserve"> ТО, Пользователи РНИС ТО и Оператор РНИС ТО.</w:t>
      </w:r>
    </w:p>
    <w:p w14:paraId="2154F616" w14:textId="77777777" w:rsidR="006F52EE" w:rsidRDefault="0057563A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1.6. </w:t>
      </w:r>
      <w:r>
        <w:rPr>
          <w:rFonts w:ascii="Arial" w:hAnsi="Arial" w:cs="Arial"/>
          <w:sz w:val="26"/>
          <w:szCs w:val="26"/>
        </w:rPr>
        <w:tab/>
        <w:t>Центр обработки данных (ЦОД) – центр сбора, хранения, обработки данных, характеризующийся наличием: серверного комплекса, подсистем хранения данных (основного хранилища данных и подсистемы резервного копи</w:t>
      </w:r>
      <w:r>
        <w:rPr>
          <w:rFonts w:ascii="Arial" w:hAnsi="Arial" w:cs="Arial"/>
          <w:sz w:val="26"/>
          <w:szCs w:val="26"/>
        </w:rPr>
        <w:t>рования), коммуникационной подсистемы; подсистем жизнеобеспечения (кондиционирования, гарантированного электропитания), подсистем обеспечения безопасности (автоматического пожаротушения, видеонаблюдения, контроля управления доступом, охранно-пожарной сигна</w:t>
      </w:r>
      <w:r>
        <w:rPr>
          <w:rFonts w:ascii="Arial" w:hAnsi="Arial" w:cs="Arial"/>
          <w:sz w:val="26"/>
          <w:szCs w:val="26"/>
        </w:rPr>
        <w:t>лизации).</w:t>
      </w:r>
    </w:p>
    <w:p w14:paraId="5371614A" w14:textId="77777777" w:rsidR="006F52EE" w:rsidRDefault="0057563A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1.7.</w:t>
      </w:r>
      <w:r>
        <w:rPr>
          <w:rFonts w:ascii="Arial" w:hAnsi="Arial" w:cs="Arial"/>
          <w:sz w:val="26"/>
          <w:szCs w:val="26"/>
        </w:rPr>
        <w:tab/>
        <w:t xml:space="preserve">Мониторинговая информация – совокупность навигационной и телеметрической информации, привязанной к шкале времени, передаваемой от аппаратуры спутниковой навигации ГЛОНАСС или ГЛОНАСС/GPS (бортовой </w:t>
      </w:r>
      <w:r>
        <w:rPr>
          <w:rFonts w:ascii="Arial" w:hAnsi="Arial" w:cs="Arial"/>
          <w:sz w:val="26"/>
          <w:szCs w:val="26"/>
        </w:rPr>
        <w:lastRenderedPageBreak/>
        <w:t>терминал), установленной на транспортных сре</w:t>
      </w:r>
      <w:r>
        <w:rPr>
          <w:rFonts w:ascii="Arial" w:hAnsi="Arial" w:cs="Arial"/>
          <w:sz w:val="26"/>
          <w:szCs w:val="26"/>
        </w:rPr>
        <w:t>дствах или иных подвижных объектах, через аппаратно-программные навигационные комплексы в РНИС ТО.</w:t>
      </w:r>
    </w:p>
    <w:p w14:paraId="3FAE2FAC" w14:textId="77777777" w:rsidR="006F52EE" w:rsidRDefault="0057563A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1.8.</w:t>
      </w:r>
      <w:r>
        <w:rPr>
          <w:rFonts w:ascii="Arial" w:hAnsi="Arial" w:cs="Arial"/>
          <w:sz w:val="26"/>
          <w:szCs w:val="26"/>
        </w:rPr>
        <w:tab/>
        <w:t>БТ (бортовые терминалы) – аппаратура спутниковой навигации ГЛОНАСС или ГЛОНАСС/GPS, устанавливаемая на транспортные средства или иные подвижные объекты.</w:t>
      </w:r>
    </w:p>
    <w:p w14:paraId="1867A085" w14:textId="77777777" w:rsidR="006F52EE" w:rsidRDefault="0057563A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1.9. </w:t>
      </w:r>
      <w:r>
        <w:rPr>
          <w:rFonts w:ascii="Arial" w:hAnsi="Arial" w:cs="Arial"/>
          <w:sz w:val="26"/>
          <w:szCs w:val="26"/>
        </w:rPr>
        <w:tab/>
        <w:t>Доступ к информации – возможность получения информации и её использования.</w:t>
      </w:r>
    </w:p>
    <w:p w14:paraId="5A85C949" w14:textId="77777777" w:rsidR="006F52EE" w:rsidRDefault="0057563A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1.10. </w:t>
      </w:r>
      <w:r>
        <w:rPr>
          <w:rFonts w:ascii="Arial" w:hAnsi="Arial" w:cs="Arial"/>
          <w:sz w:val="26"/>
          <w:szCs w:val="26"/>
        </w:rPr>
        <w:tab/>
        <w:t>Подключение к РНИС ТО – действия Участников РНИС ТО, обеспечивающие возможность получения и передачи мониторинговой информации из транспортных средств Пользователей РН</w:t>
      </w:r>
      <w:r>
        <w:rPr>
          <w:rFonts w:ascii="Arial" w:hAnsi="Arial" w:cs="Arial"/>
          <w:sz w:val="26"/>
          <w:szCs w:val="26"/>
        </w:rPr>
        <w:t>ИС ТО, оснащенных аппаратурой спутниковой навигации ГЛОНАСС или ГЛОНАСС/</w:t>
      </w:r>
      <w:r>
        <w:rPr>
          <w:rFonts w:ascii="Arial" w:hAnsi="Arial" w:cs="Arial"/>
          <w:sz w:val="26"/>
          <w:szCs w:val="26"/>
          <w:lang w:val="en-US"/>
        </w:rPr>
        <w:t>GPS</w:t>
      </w:r>
      <w:r>
        <w:rPr>
          <w:rFonts w:ascii="Arial" w:hAnsi="Arial" w:cs="Arial"/>
          <w:sz w:val="26"/>
          <w:szCs w:val="26"/>
        </w:rPr>
        <w:t>.</w:t>
      </w:r>
    </w:p>
    <w:p w14:paraId="5987CD7C" w14:textId="77777777" w:rsidR="006F52EE" w:rsidRDefault="006F52EE">
      <w:pPr>
        <w:ind w:firstLine="540"/>
        <w:jc w:val="both"/>
        <w:rPr>
          <w:rFonts w:ascii="Arial" w:hAnsi="Arial" w:cs="Arial"/>
          <w:sz w:val="26"/>
          <w:szCs w:val="26"/>
        </w:rPr>
      </w:pPr>
    </w:p>
    <w:p w14:paraId="49E2F154" w14:textId="77777777" w:rsidR="006F52EE" w:rsidRDefault="0057563A">
      <w:pPr>
        <w:pStyle w:val="af8"/>
        <w:ind w:left="0" w:firstLine="7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2. Предмет соглашения</w:t>
      </w:r>
    </w:p>
    <w:p w14:paraId="2250F0D8" w14:textId="77777777" w:rsidR="006F52EE" w:rsidRDefault="006F52EE">
      <w:pPr>
        <w:pStyle w:val="af8"/>
        <w:ind w:left="0" w:firstLine="720"/>
        <w:jc w:val="center"/>
        <w:rPr>
          <w:rFonts w:ascii="Arial" w:hAnsi="Arial" w:cs="Arial"/>
          <w:b/>
          <w:sz w:val="26"/>
          <w:szCs w:val="26"/>
        </w:rPr>
      </w:pPr>
    </w:p>
    <w:p w14:paraId="16345355" w14:textId="77777777" w:rsidR="006F52EE" w:rsidRDefault="0057563A">
      <w:pPr>
        <w:pStyle w:val="af8"/>
        <w:ind w:left="0" w:firstLine="7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2.1. Соглашение заключено в соответствии с:</w:t>
      </w:r>
    </w:p>
    <w:p w14:paraId="706D9494" w14:textId="77777777" w:rsidR="006F52EE" w:rsidRDefault="0057563A">
      <w:pPr>
        <w:pStyle w:val="af8"/>
        <w:ind w:left="0" w:firstLine="7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> Федеральным законом от 14.02.2009 № 22-ФЗ «О навигационной деятельности»;</w:t>
      </w:r>
    </w:p>
    <w:p w14:paraId="36E9F484" w14:textId="77777777" w:rsidR="006F52EE" w:rsidRDefault="0057563A">
      <w:pPr>
        <w:pStyle w:val="af8"/>
        <w:ind w:left="0" w:firstLine="7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Arial" w:hAnsi="Arial" w:cs="Arial"/>
          <w:sz w:val="26"/>
          <w:szCs w:val="26"/>
        </w:rPr>
        <w:t>Указом президента Российской Федерации от 17.05.2007 № 638 «Об использовании глобальной навигационной спутниковой системы ГЛОНАСС в интересах социально-экономического развития Российской Федерации»;</w:t>
      </w:r>
    </w:p>
    <w:p w14:paraId="48564471" w14:textId="77777777" w:rsidR="006F52EE" w:rsidRDefault="0057563A">
      <w:pPr>
        <w:pStyle w:val="af8"/>
        <w:ind w:left="0" w:firstLine="7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Постановлением Правительства Российской Федерации от 25</w:t>
      </w:r>
      <w:r>
        <w:rPr>
          <w:rFonts w:ascii="Arial" w:hAnsi="Arial" w:cs="Arial"/>
          <w:sz w:val="26"/>
          <w:szCs w:val="26"/>
        </w:rPr>
        <w:t xml:space="preserve">.08.2008 № 641 «Об оснащенности транспортных, технических средств и систем аппаратурой спутниковой навигации ГЛОНАСС или ГЛОНАСС/GPS»; </w:t>
      </w:r>
    </w:p>
    <w:p w14:paraId="308C90BF" w14:textId="77777777" w:rsidR="006F52EE" w:rsidRDefault="0057563A">
      <w:pPr>
        <w:pStyle w:val="af8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Распоряжением Правительства Тюменской области от 15.10.2012 № 2020-рп «Об обеспечении использования технологии глобаль</w:t>
      </w:r>
      <w:r>
        <w:rPr>
          <w:rFonts w:ascii="Arial" w:hAnsi="Arial" w:cs="Arial"/>
          <w:sz w:val="26"/>
          <w:szCs w:val="26"/>
        </w:rPr>
        <w:t>ной спутниковой системы ГЛОНАСС»;</w:t>
      </w:r>
    </w:p>
    <w:p w14:paraId="1B99C63B" w14:textId="77777777" w:rsidR="006F52EE" w:rsidRDefault="0057563A">
      <w:pPr>
        <w:pStyle w:val="af8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Постановлением Правительства Тюменской области от 22.07.2013 № 285-п «Об утверждении Положения о региональной навигационно-информационной системе Тюменской области»;</w:t>
      </w:r>
    </w:p>
    <w:p w14:paraId="75568CEA" w14:textId="77777777" w:rsidR="006F52EE" w:rsidRDefault="0057563A">
      <w:pPr>
        <w:pStyle w:val="af8"/>
        <w:ind w:left="0" w:firstLine="7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Распоряжением Департамента информатизации Тюменской </w:t>
      </w:r>
      <w:r>
        <w:rPr>
          <w:rFonts w:ascii="Arial" w:hAnsi="Arial" w:cs="Arial"/>
          <w:sz w:val="26"/>
          <w:szCs w:val="26"/>
        </w:rPr>
        <w:t>области от 15.01.2020 № 01-р «Об утверждении Положения о региональной навигационно-информационной системе Тюменской области».</w:t>
      </w:r>
    </w:p>
    <w:p w14:paraId="1468D1CA" w14:textId="77777777" w:rsidR="006F52EE" w:rsidRDefault="0057563A">
      <w:pPr>
        <w:pStyle w:val="af8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2.2. Мониторинговая информация в отношении транспортных средств Пользователя, БТ которых подключены к РНИС ТО, предоставляется бес</w:t>
      </w:r>
      <w:r>
        <w:rPr>
          <w:rFonts w:ascii="Arial" w:hAnsi="Arial" w:cs="Arial"/>
          <w:sz w:val="26"/>
          <w:szCs w:val="26"/>
        </w:rPr>
        <w:t xml:space="preserve">платно. </w:t>
      </w:r>
    </w:p>
    <w:p w14:paraId="1444F1B3" w14:textId="77777777" w:rsidR="006F52EE" w:rsidRDefault="0057563A">
      <w:pPr>
        <w:pStyle w:val="af8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2.3.</w:t>
      </w:r>
      <w:r>
        <w:rPr>
          <w:rFonts w:ascii="Arial" w:hAnsi="Arial" w:cs="Arial"/>
          <w:sz w:val="26"/>
          <w:szCs w:val="26"/>
        </w:rPr>
        <w:tab/>
        <w:t>По настоящему Соглашению Оператор обеспечивает предоставление Пользователю мониторинговой информации, содержащейся в РНИС ТО, в целях автоматизированного дистанционного мониторинга и обеспечения контроля передвижения транспортных средств Поль</w:t>
      </w:r>
      <w:r>
        <w:rPr>
          <w:rFonts w:ascii="Arial" w:hAnsi="Arial" w:cs="Arial"/>
          <w:sz w:val="26"/>
          <w:szCs w:val="26"/>
        </w:rPr>
        <w:t>зователя, БТ которых подключены к РНИС ТО.</w:t>
      </w:r>
    </w:p>
    <w:p w14:paraId="33F92629" w14:textId="77777777" w:rsidR="006F52EE" w:rsidRDefault="0057563A">
      <w:pPr>
        <w:pStyle w:val="af8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2.4.</w:t>
      </w:r>
      <w:r>
        <w:rPr>
          <w:rFonts w:ascii="Arial" w:hAnsi="Arial" w:cs="Arial"/>
          <w:sz w:val="26"/>
          <w:szCs w:val="26"/>
        </w:rPr>
        <w:tab/>
        <w:t xml:space="preserve">Перечень мониторинговой информации, предоставляемой Пользователю, указан в Приложении к настоящему Соглашению. </w:t>
      </w:r>
    </w:p>
    <w:p w14:paraId="7839CD54" w14:textId="77777777" w:rsidR="006F52EE" w:rsidRDefault="0057563A">
      <w:pPr>
        <w:pStyle w:val="af8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2.5.</w:t>
      </w:r>
      <w:r>
        <w:rPr>
          <w:rFonts w:ascii="Arial" w:hAnsi="Arial" w:cs="Arial"/>
          <w:sz w:val="26"/>
          <w:szCs w:val="26"/>
        </w:rPr>
        <w:tab/>
        <w:t>При организации взаимодействия Стороны руководствуются следующими принципами:</w:t>
      </w:r>
    </w:p>
    <w:p w14:paraId="5C8718EF" w14:textId="77777777" w:rsidR="006F52EE" w:rsidRDefault="0057563A">
      <w:pPr>
        <w:pStyle w:val="af8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-– </w:t>
      </w:r>
      <w:r>
        <w:rPr>
          <w:rFonts w:ascii="Arial" w:hAnsi="Arial" w:cs="Arial"/>
          <w:sz w:val="26"/>
          <w:szCs w:val="26"/>
        </w:rPr>
        <w:t>соблюдение интересов граждан, общества и государства в области обеспечения транспортной безопасности и безопасности дорожного движения;</w:t>
      </w:r>
    </w:p>
    <w:p w14:paraId="45D467C2" w14:textId="77777777" w:rsidR="006F52EE" w:rsidRDefault="0057563A">
      <w:pPr>
        <w:pStyle w:val="af8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приоритет жизни и здоровья граждан, участвующих в дорожном движении, над экономическими результатами хозяйственной дея</w:t>
      </w:r>
      <w:r>
        <w:rPr>
          <w:rFonts w:ascii="Arial" w:hAnsi="Arial" w:cs="Arial"/>
          <w:sz w:val="26"/>
          <w:szCs w:val="26"/>
        </w:rPr>
        <w:t>тельности;</w:t>
      </w:r>
    </w:p>
    <w:p w14:paraId="009D5CA4" w14:textId="77777777" w:rsidR="006F52EE" w:rsidRDefault="0057563A">
      <w:pPr>
        <w:pStyle w:val="af8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использование информационных ресурсов в соответствии с законодательством Российской Федерации;</w:t>
      </w:r>
    </w:p>
    <w:p w14:paraId="2FF7A6EB" w14:textId="77777777" w:rsidR="006F52EE" w:rsidRDefault="0057563A">
      <w:pPr>
        <w:pStyle w:val="af8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строгое соблюдение Сторонами государственной, служебной и иной охраняемой законом тайны;</w:t>
      </w:r>
    </w:p>
    <w:p w14:paraId="4ACB46B6" w14:textId="77777777" w:rsidR="006F52EE" w:rsidRDefault="0057563A">
      <w:pPr>
        <w:pStyle w:val="af8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– обязательность и безупречность исполнения достигнутых С</w:t>
      </w:r>
      <w:r>
        <w:rPr>
          <w:rFonts w:ascii="Arial" w:hAnsi="Arial" w:cs="Arial"/>
          <w:sz w:val="26"/>
          <w:szCs w:val="26"/>
        </w:rPr>
        <w:t>торонами договоренностей;</w:t>
      </w:r>
    </w:p>
    <w:p w14:paraId="73648214" w14:textId="77777777" w:rsidR="006F52EE" w:rsidRDefault="0057563A">
      <w:pPr>
        <w:pStyle w:val="af8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обеспечение защиты информации и контроля доступа к информации.</w:t>
      </w:r>
    </w:p>
    <w:p w14:paraId="71DF2635" w14:textId="77777777" w:rsidR="006F52EE" w:rsidRDefault="006F52EE">
      <w:pPr>
        <w:pStyle w:val="af8"/>
        <w:ind w:left="0" w:firstLine="540"/>
        <w:jc w:val="center"/>
        <w:rPr>
          <w:rFonts w:ascii="Arial" w:hAnsi="Arial" w:cs="Arial"/>
          <w:b/>
          <w:sz w:val="26"/>
          <w:szCs w:val="26"/>
        </w:rPr>
      </w:pPr>
    </w:p>
    <w:p w14:paraId="18C9C3A8" w14:textId="77777777" w:rsidR="006F52EE" w:rsidRDefault="0057563A">
      <w:pPr>
        <w:pStyle w:val="af8"/>
        <w:ind w:left="0" w:firstLine="54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3. Обязанности сторон</w:t>
      </w:r>
    </w:p>
    <w:p w14:paraId="0F63B603" w14:textId="77777777" w:rsidR="006F52EE" w:rsidRDefault="006F52EE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</w:p>
    <w:p w14:paraId="7F4A4A7B" w14:textId="77777777" w:rsidR="006F52EE" w:rsidRDefault="0057563A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 Оператор обязан обеспечить:</w:t>
      </w:r>
    </w:p>
    <w:p w14:paraId="60185621" w14:textId="77777777" w:rsidR="006F52EE" w:rsidRDefault="0057563A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бесперебойное функционирование аппаратной платформы РНИС ТО;</w:t>
      </w:r>
    </w:p>
    <w:p w14:paraId="20AD1D29" w14:textId="77777777" w:rsidR="006F52EE" w:rsidRDefault="0057563A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хранение персональных данных, содержащихся </w:t>
      </w:r>
      <w:r>
        <w:rPr>
          <w:rFonts w:ascii="Arial" w:hAnsi="Arial" w:cs="Arial"/>
          <w:sz w:val="26"/>
          <w:szCs w:val="26"/>
        </w:rPr>
        <w:t>и обрабатываемых в РНИС ТО;</w:t>
      </w:r>
    </w:p>
    <w:p w14:paraId="2C447A53" w14:textId="77777777" w:rsidR="006F52EE" w:rsidRDefault="0057563A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взаимодействие Пользователей в рамках РНИС ТО;</w:t>
      </w:r>
    </w:p>
    <w:p w14:paraId="5A15801E" w14:textId="77777777" w:rsidR="006F52EE" w:rsidRDefault="0057563A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организацию эксплуатации РНИС ТО.</w:t>
      </w:r>
    </w:p>
    <w:p w14:paraId="05E0E10F" w14:textId="77777777" w:rsidR="006F52EE" w:rsidRDefault="0057563A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 Пользователь обязан:</w:t>
      </w:r>
    </w:p>
    <w:p w14:paraId="1F26ADFB" w14:textId="77777777" w:rsidR="006F52EE" w:rsidRDefault="0057563A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подключить к РНИС ТО БТ транспортных средств, закрепленных за Пользователем в установленном порядке</w:t>
      </w:r>
      <w:r>
        <w:rPr>
          <w:rFonts w:ascii="Arial" w:hAnsi="Arial" w:cs="Arial"/>
          <w:sz w:val="26"/>
          <w:szCs w:val="26"/>
        </w:rPr>
        <w:t xml:space="preserve">, направив заявку на подключение к РНИС ТО по форме, размещенной на официальном сайте Оператора по адресу в сети Интернет </w:t>
      </w:r>
      <w:hyperlink r:id="rId7" w:tooltip="http://citto.ru" w:history="1">
        <w:r>
          <w:rPr>
            <w:rStyle w:val="af3"/>
            <w:rFonts w:ascii="Arial" w:hAnsi="Arial" w:cs="Arial"/>
            <w:sz w:val="26"/>
            <w:szCs w:val="26"/>
          </w:rPr>
          <w:t>http://citto.ru</w:t>
        </w:r>
      </w:hyperlink>
      <w:r>
        <w:rPr>
          <w:rFonts w:ascii="Arial" w:hAnsi="Arial" w:cs="Arial"/>
          <w:sz w:val="26"/>
          <w:szCs w:val="26"/>
        </w:rPr>
        <w:t xml:space="preserve"> в разделе «Региональная навигационно-информационная система» на П</w:t>
      </w:r>
      <w:r>
        <w:rPr>
          <w:rFonts w:ascii="Arial" w:hAnsi="Arial" w:cs="Arial"/>
          <w:sz w:val="26"/>
          <w:szCs w:val="26"/>
        </w:rPr>
        <w:t xml:space="preserve">ортал технической поддержки Правительства Тюменской области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Service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Desk</w:t>
      </w:r>
      <w:r>
        <w:rPr>
          <w:rFonts w:ascii="Arial" w:hAnsi="Arial" w:cs="Arial"/>
        </w:rPr>
        <w:t>) (</w:t>
      </w:r>
      <w:hyperlink r:id="rId8" w:tooltip="https://sd.72to.ru/" w:history="1">
        <w:r>
          <w:rPr>
            <w:rStyle w:val="af3"/>
            <w:rFonts w:ascii="Arial" w:eastAsia="Microsoft YaHei" w:hAnsi="Arial" w:cs="Arial"/>
          </w:rPr>
          <w:t>https://sd.72to.ru/</w:t>
        </w:r>
      </w:hyperlink>
      <w:r>
        <w:rPr>
          <w:rFonts w:ascii="Arial" w:eastAsia="Microsoft YaHei" w:hAnsi="Arial" w:cs="Arial"/>
        </w:rPr>
        <w:t>);</w:t>
      </w:r>
    </w:p>
    <w:p w14:paraId="29ED2C22" w14:textId="77777777" w:rsidR="006F52EE" w:rsidRDefault="0057563A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осуществлять автоматизированный дистанционный мониторинг транспортных средств, закрепленных за </w:t>
      </w:r>
      <w:r>
        <w:rPr>
          <w:rFonts w:ascii="Arial" w:hAnsi="Arial" w:cs="Arial"/>
          <w:sz w:val="26"/>
          <w:szCs w:val="26"/>
        </w:rPr>
        <w:t>Пользователем в установленном порядке.</w:t>
      </w:r>
    </w:p>
    <w:p w14:paraId="0AC2E5CD" w14:textId="77777777" w:rsidR="006F52EE" w:rsidRDefault="0057563A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3.3. Стороны направляют на электронный адрес, указанный в статье 6 Соглашения, перечень лиц с указанием должности, контактных данных (телефон, адрес электронной почты), ответственных за решение организационных и техни</w:t>
      </w:r>
      <w:r>
        <w:rPr>
          <w:rFonts w:ascii="Arial" w:hAnsi="Arial" w:cs="Arial"/>
          <w:sz w:val="26"/>
          <w:szCs w:val="26"/>
        </w:rPr>
        <w:t>ческих вопросов, в течение 3 (Трех) рабочих дней с даты заключения Соглашения.</w:t>
      </w:r>
    </w:p>
    <w:p w14:paraId="71F6ADF4" w14:textId="77777777" w:rsidR="006F52EE" w:rsidRDefault="0057563A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Внесение изменений в указанный перечень Стороны осуществляют в порядке и сроки, установленные в настоящем пункте.</w:t>
      </w:r>
    </w:p>
    <w:p w14:paraId="1F7C6A98" w14:textId="77777777" w:rsidR="006F52EE" w:rsidRDefault="006F52EE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</w:p>
    <w:p w14:paraId="031213ED" w14:textId="77777777" w:rsidR="006F52EE" w:rsidRDefault="006F52EE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</w:p>
    <w:p w14:paraId="6793223E" w14:textId="77777777" w:rsidR="006F52EE" w:rsidRDefault="0057563A">
      <w:pPr>
        <w:pStyle w:val="af8"/>
        <w:ind w:left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4. Условия защиты информации</w:t>
      </w:r>
    </w:p>
    <w:p w14:paraId="129598BE" w14:textId="77777777" w:rsidR="006F52EE" w:rsidRDefault="0057563A">
      <w:pPr>
        <w:pStyle w:val="af8"/>
        <w:ind w:left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и ответственность сторон</w:t>
      </w:r>
    </w:p>
    <w:p w14:paraId="101170F1" w14:textId="77777777" w:rsidR="006F52EE" w:rsidRDefault="006F52EE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</w:p>
    <w:p w14:paraId="08267EB5" w14:textId="77777777" w:rsidR="006F52EE" w:rsidRDefault="0057563A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4.1. В</w:t>
      </w:r>
      <w:r>
        <w:rPr>
          <w:rFonts w:ascii="Arial" w:hAnsi="Arial" w:cs="Arial"/>
          <w:sz w:val="26"/>
          <w:szCs w:val="26"/>
        </w:rPr>
        <w:t xml:space="preserve">заимодействие Сторон в рамках Соглашения осуществляется с использованием сертифицированных средств криптографической защиты информации с классом защиты в соответствии с требованиями действующего законодательства Российской Федерации. </w:t>
      </w:r>
    </w:p>
    <w:p w14:paraId="47D79F39" w14:textId="77777777" w:rsidR="006F52EE" w:rsidRDefault="0057563A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4.2. Стороны по Согла</w:t>
      </w:r>
      <w:r>
        <w:rPr>
          <w:rFonts w:ascii="Arial" w:hAnsi="Arial" w:cs="Arial"/>
          <w:sz w:val="26"/>
          <w:szCs w:val="26"/>
        </w:rPr>
        <w:t xml:space="preserve">шению обязаны обеспечить: </w:t>
      </w:r>
    </w:p>
    <w:p w14:paraId="360433C3" w14:textId="77777777" w:rsidR="006F52EE" w:rsidRDefault="0057563A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4.2.1. Предотвращение несанкционированного или случайного доступа к информации, получаемой (передаваемой) в рамках Соглашения, и (или) передачи её лицам, не имеющим права на доступ к такой информации.</w:t>
      </w:r>
    </w:p>
    <w:p w14:paraId="5A428273" w14:textId="77777777" w:rsidR="006F52EE" w:rsidRDefault="0057563A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.2.2. Своевременное обнаружение фактов и принятие мер по исключению случаев несанкционированного доступа к информации.</w:t>
      </w:r>
    </w:p>
    <w:p w14:paraId="449361F9" w14:textId="77777777" w:rsidR="006F52EE" w:rsidRDefault="0057563A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4.2.3. Предупреждение возможности неблагоприятных последствий нарушения порядка доступа к информации.</w:t>
      </w:r>
    </w:p>
    <w:p w14:paraId="65227262" w14:textId="77777777" w:rsidR="006F52EE" w:rsidRDefault="0057563A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4.2.4. Недопущение воздействия на т</w:t>
      </w:r>
      <w:r>
        <w:rPr>
          <w:rFonts w:ascii="Arial" w:hAnsi="Arial" w:cs="Arial"/>
          <w:sz w:val="26"/>
          <w:szCs w:val="26"/>
        </w:rPr>
        <w:t>ехнические средства обработки информации, в результате которого нарушается их функционирование.</w:t>
      </w:r>
    </w:p>
    <w:p w14:paraId="758B0D23" w14:textId="77777777" w:rsidR="006F52EE" w:rsidRDefault="0057563A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4.2.5. Восстановление информации, модифицированной или уничтоженной вследствие несанкционированного доступа к ней или программно-математического воздействия (ви</w:t>
      </w:r>
      <w:r>
        <w:rPr>
          <w:rFonts w:ascii="Arial" w:hAnsi="Arial" w:cs="Arial"/>
          <w:sz w:val="26"/>
          <w:szCs w:val="26"/>
        </w:rPr>
        <w:t xml:space="preserve">русов). </w:t>
      </w:r>
    </w:p>
    <w:p w14:paraId="7283FB5C" w14:textId="77777777" w:rsidR="006F52EE" w:rsidRDefault="0057563A">
      <w:pPr>
        <w:pStyle w:val="af8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4.2.6. Постоянный контроль за обеспечением уровня защищённости информации.</w:t>
      </w:r>
    </w:p>
    <w:p w14:paraId="4C4EFE2B" w14:textId="77777777" w:rsidR="006F52EE" w:rsidRDefault="0057563A">
      <w:pPr>
        <w:pStyle w:val="af8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4.3. Ответственность перед третьими лицами в случае предъявления ими претензий материального или иного характера, существо которых связано с реализацией Сторонами правомочи</w:t>
      </w:r>
      <w:r>
        <w:rPr>
          <w:rFonts w:ascii="Arial" w:hAnsi="Arial" w:cs="Arial"/>
          <w:sz w:val="26"/>
          <w:szCs w:val="26"/>
        </w:rPr>
        <w:t>й в рамках Соглашения, Стороны несут самостоятельно.</w:t>
      </w:r>
    </w:p>
    <w:p w14:paraId="0D799A4E" w14:textId="77777777" w:rsidR="006F52EE" w:rsidRDefault="006F52EE">
      <w:pPr>
        <w:pStyle w:val="af8"/>
        <w:ind w:left="0"/>
        <w:jc w:val="center"/>
        <w:rPr>
          <w:rFonts w:ascii="Arial" w:hAnsi="Arial" w:cs="Arial"/>
          <w:sz w:val="26"/>
          <w:szCs w:val="26"/>
        </w:rPr>
      </w:pPr>
    </w:p>
    <w:p w14:paraId="0D215E48" w14:textId="77777777" w:rsidR="006F52EE" w:rsidRDefault="0057563A">
      <w:pPr>
        <w:pStyle w:val="af8"/>
        <w:ind w:left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5. Срок действия соглашения и прочие условия</w:t>
      </w:r>
    </w:p>
    <w:p w14:paraId="542AAF9F" w14:textId="77777777" w:rsidR="006F52EE" w:rsidRDefault="006F52EE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</w:p>
    <w:p w14:paraId="04A03AD6" w14:textId="77777777" w:rsidR="006F52EE" w:rsidRDefault="0057563A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5.1. Соглашение вступает в силу со дня его подписания обеими Сторонами и действует бессрочно. </w:t>
      </w:r>
    </w:p>
    <w:p w14:paraId="11FDCF94" w14:textId="77777777" w:rsidR="006F52EE" w:rsidRDefault="0057563A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5.2. По взаимному согласию Сторон в текст Соглашения могут вн</w:t>
      </w:r>
      <w:r>
        <w:rPr>
          <w:rFonts w:ascii="Arial" w:hAnsi="Arial" w:cs="Arial"/>
          <w:sz w:val="26"/>
          <w:szCs w:val="26"/>
        </w:rPr>
        <w:t>оситься изменения и дополнения, а также могут приниматься (заключаться, подписываться) дополнительные соглашения и (или) иные документы, обусловленные необходимостью и не противоречащие действующему законодательству. При этом Стороны обеспечивают непрерывн</w:t>
      </w:r>
      <w:r>
        <w:rPr>
          <w:rFonts w:ascii="Arial" w:hAnsi="Arial" w:cs="Arial"/>
          <w:sz w:val="26"/>
          <w:szCs w:val="26"/>
        </w:rPr>
        <w:t>ость информационного обмена.</w:t>
      </w:r>
    </w:p>
    <w:p w14:paraId="51111E35" w14:textId="77777777" w:rsidR="006F52EE" w:rsidRDefault="0057563A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5.3. В случае если нормативными правовыми актами Российской Федерации, нормативными и иными правовыми актами будет установлен иной порядок взаимодействия в сфере навигационной деятельности, действие Соглашения либо соответствую</w:t>
      </w:r>
      <w:r>
        <w:rPr>
          <w:rFonts w:ascii="Arial" w:hAnsi="Arial" w:cs="Arial"/>
          <w:sz w:val="26"/>
          <w:szCs w:val="26"/>
        </w:rPr>
        <w:t>щей его части прекращается с даты вступления в силу указанных нормативных правовых актов Российской Федерации, нормативными и иными правовыми актами.</w:t>
      </w:r>
    </w:p>
    <w:p w14:paraId="18C0AEFF" w14:textId="77777777" w:rsidR="006F52EE" w:rsidRDefault="0057563A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5.4. Соглашение может быть расторгнуто по взаимному соглашению Сторон.</w:t>
      </w:r>
    </w:p>
    <w:p w14:paraId="33063B03" w14:textId="77777777" w:rsidR="006F52EE" w:rsidRDefault="0057563A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5.5</w:t>
      </w:r>
      <w:r>
        <w:rPr>
          <w:rFonts w:ascii="Arial" w:hAnsi="Arial" w:cs="Arial"/>
          <w:sz w:val="26"/>
          <w:szCs w:val="26"/>
        </w:rPr>
        <w:t>. Соглашение составлено в двух подлинных экземплярах, имеющих одинаковую юридическую силу, по одному для каждой из Сторон.</w:t>
      </w:r>
    </w:p>
    <w:p w14:paraId="1112BBC8" w14:textId="77777777" w:rsidR="006F52EE" w:rsidRDefault="006F52EE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</w:p>
    <w:p w14:paraId="16BAAB65" w14:textId="77777777" w:rsidR="006F52EE" w:rsidRDefault="0057563A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Приложения, являющиеся неотъемлемой частью настоящего соглашения:</w:t>
      </w:r>
    </w:p>
    <w:p w14:paraId="124DFCF6" w14:textId="77777777" w:rsidR="006F52EE" w:rsidRDefault="0057563A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– Перечень мониторинговой информации</w:t>
      </w:r>
    </w:p>
    <w:p w14:paraId="54EE36D8" w14:textId="77777777" w:rsidR="006F52EE" w:rsidRDefault="006F52EE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</w:p>
    <w:p w14:paraId="51BACF44" w14:textId="77777777" w:rsidR="006F52EE" w:rsidRDefault="0057563A">
      <w:pPr>
        <w:pStyle w:val="af8"/>
        <w:ind w:left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6. Реквизиты и по</w:t>
      </w:r>
      <w:r>
        <w:rPr>
          <w:rFonts w:ascii="Arial" w:hAnsi="Arial" w:cs="Arial"/>
          <w:b/>
          <w:sz w:val="26"/>
          <w:szCs w:val="26"/>
        </w:rPr>
        <w:t>дписи Сторон</w:t>
      </w:r>
    </w:p>
    <w:p w14:paraId="06AE3288" w14:textId="77777777" w:rsidR="006F52EE" w:rsidRDefault="006F52EE">
      <w:pPr>
        <w:pStyle w:val="af8"/>
        <w:ind w:left="0" w:firstLine="540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6F52EE" w14:paraId="7067F981" w14:textId="77777777">
        <w:trPr>
          <w:trHeight w:val="360"/>
        </w:trPr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3D5422D" w14:textId="77777777" w:rsidR="006F52EE" w:rsidRDefault="0057563A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Оператор: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758B016" w14:textId="77777777" w:rsidR="006F52EE" w:rsidRDefault="0057563A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Пользователь:</w:t>
            </w:r>
          </w:p>
        </w:tc>
      </w:tr>
      <w:tr w:rsidR="006F52EE" w14:paraId="4BB8A464" w14:textId="77777777">
        <w:trPr>
          <w:trHeight w:val="360"/>
        </w:trPr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DBCEEF" w14:textId="77777777" w:rsidR="006F52EE" w:rsidRDefault="0057563A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ГКУ ТО «ЦИТТО»</w:t>
            </w:r>
          </w:p>
          <w:p w14:paraId="0E9E9772" w14:textId="77777777" w:rsidR="006F52EE" w:rsidRDefault="0057563A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г. Тюмень, ул. Советская, д. 61</w:t>
            </w:r>
          </w:p>
          <w:p w14:paraId="7524A41D" w14:textId="77777777" w:rsidR="006F52EE" w:rsidRDefault="0057563A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ИНН/КПП 7202190205/ 720301001</w:t>
            </w:r>
          </w:p>
          <w:p w14:paraId="0EC25F89" w14:textId="77777777" w:rsidR="006F52EE" w:rsidRDefault="0057563A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Тел. (3452) 54-30-40</w:t>
            </w:r>
          </w:p>
          <w:p w14:paraId="51D7C7D6" w14:textId="77777777" w:rsidR="006F52EE" w:rsidRDefault="0057563A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e</w:t>
            </w:r>
            <w:r>
              <w:rPr>
                <w:rFonts w:ascii="Arial" w:hAnsi="Arial" w:cs="Arial"/>
                <w:sz w:val="26"/>
                <w:szCs w:val="26"/>
              </w:rPr>
              <w:t>-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mail</w:t>
            </w:r>
            <w:r>
              <w:rPr>
                <w:rFonts w:ascii="Arial" w:hAnsi="Arial" w:cs="Arial"/>
                <w:sz w:val="26"/>
                <w:szCs w:val="26"/>
              </w:rPr>
              <w:t xml:space="preserve">: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citto</w:t>
            </w:r>
            <w:r>
              <w:rPr>
                <w:rFonts w:ascii="Arial" w:hAnsi="Arial" w:cs="Arial"/>
                <w:sz w:val="26"/>
                <w:szCs w:val="26"/>
              </w:rPr>
              <w:t>@72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to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ru</w:t>
            </w:r>
          </w:p>
          <w:p w14:paraId="5E1A3801" w14:textId="77777777" w:rsidR="006F52EE" w:rsidRDefault="006F52EE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2EE36158" w14:textId="77777777" w:rsidR="006F52EE" w:rsidRDefault="006F52EE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641A44C8" w14:textId="77777777" w:rsidR="006F52EE" w:rsidRDefault="0057563A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</w:t>
            </w:r>
          </w:p>
          <w:p w14:paraId="5ECDA85C" w14:textId="77777777" w:rsidR="006F52EE" w:rsidRDefault="006F52EE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12C0CD5B" w14:textId="77777777" w:rsidR="006F52EE" w:rsidRDefault="0057563A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 А.Р. Усманов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992E02C" w14:textId="77777777" w:rsidR="006F52EE" w:rsidRDefault="006F52EE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14:paraId="62AEAFBB" w14:textId="77777777" w:rsidR="006F52EE" w:rsidRDefault="006F52EE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14:paraId="6298782A" w14:textId="77777777" w:rsidR="006F52EE" w:rsidRDefault="006F52EE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0E46DE4B" w14:textId="77777777" w:rsidR="006F52EE" w:rsidRDefault="006F52EE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4FCAA076" w14:textId="77777777" w:rsidR="006F52EE" w:rsidRDefault="006F52EE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2B7AB811" w14:textId="77777777" w:rsidR="006F52EE" w:rsidRDefault="006F52EE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1DF43EEB" w14:textId="77777777" w:rsidR="006F52EE" w:rsidRDefault="006F52EE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3E1E6F93" w14:textId="77777777" w:rsidR="006F52EE" w:rsidRDefault="006F52EE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30AB28B4" w14:textId="77777777" w:rsidR="006F52EE" w:rsidRDefault="006F52EE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3145541D" w14:textId="77777777" w:rsidR="006F52EE" w:rsidRDefault="0057563A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___________________ _____________</w:t>
            </w:r>
          </w:p>
        </w:tc>
      </w:tr>
    </w:tbl>
    <w:p w14:paraId="05877197" w14:textId="77777777" w:rsidR="006F52EE" w:rsidRDefault="006F52EE">
      <w:pPr>
        <w:pStyle w:val="af8"/>
        <w:ind w:left="0"/>
        <w:jc w:val="both"/>
      </w:pPr>
    </w:p>
    <w:p w14:paraId="381D587E" w14:textId="77777777" w:rsidR="006F52EE" w:rsidRDefault="0057563A">
      <w:pPr>
        <w:pStyle w:val="af8"/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br w:type="page" w:clear="all"/>
      </w:r>
      <w:r>
        <w:rPr>
          <w:rFonts w:ascii="Arial" w:hAnsi="Arial" w:cs="Arial"/>
        </w:rPr>
        <w:t>Приложение</w:t>
      </w:r>
    </w:p>
    <w:p w14:paraId="58D89ACF" w14:textId="77777777" w:rsidR="006F52EE" w:rsidRDefault="0057563A">
      <w:pPr>
        <w:pStyle w:val="af8"/>
        <w:ind w:left="5245"/>
        <w:jc w:val="both"/>
      </w:pPr>
      <w:r>
        <w:rPr>
          <w:rFonts w:ascii="Arial" w:hAnsi="Arial" w:cs="Arial"/>
        </w:rPr>
        <w:t>к соглашению</w:t>
      </w:r>
      <w:r>
        <w:t xml:space="preserve"> </w:t>
      </w:r>
    </w:p>
    <w:p w14:paraId="08B7EA84" w14:textId="77777777" w:rsidR="006F52EE" w:rsidRDefault="0057563A">
      <w:pPr>
        <w:pStyle w:val="af8"/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«___»_______ 20___ г. № ______</w:t>
      </w:r>
    </w:p>
    <w:p w14:paraId="12AC9256" w14:textId="77777777" w:rsidR="006F52EE" w:rsidRDefault="0057563A">
      <w:pPr>
        <w:pStyle w:val="af8"/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</w:rPr>
        <w:t>о предоставлении мониторинговой информации в сфере навигационной деятельности</w:t>
      </w:r>
    </w:p>
    <w:p w14:paraId="0176B28E" w14:textId="77777777" w:rsidR="006F52EE" w:rsidRDefault="006F52EE">
      <w:pPr>
        <w:pStyle w:val="af8"/>
        <w:ind w:left="0"/>
        <w:jc w:val="center"/>
        <w:rPr>
          <w:rFonts w:ascii="Arial" w:hAnsi="Arial" w:cs="Arial"/>
        </w:rPr>
      </w:pPr>
    </w:p>
    <w:p w14:paraId="41ACA5BC" w14:textId="77777777" w:rsidR="006F52EE" w:rsidRDefault="006F52EE">
      <w:pPr>
        <w:pStyle w:val="af8"/>
        <w:ind w:left="0"/>
        <w:jc w:val="center"/>
        <w:rPr>
          <w:rFonts w:ascii="Arial" w:hAnsi="Arial" w:cs="Arial"/>
        </w:rPr>
      </w:pPr>
    </w:p>
    <w:p w14:paraId="175F0753" w14:textId="77777777" w:rsidR="006F52EE" w:rsidRDefault="0057563A">
      <w:pPr>
        <w:widowControl w:val="0"/>
        <w:tabs>
          <w:tab w:val="left" w:pos="4427"/>
        </w:tabs>
        <w:ind w:right="34"/>
        <w:jc w:val="center"/>
        <w:rPr>
          <w:rFonts w:ascii="Arial" w:hAnsi="Arial" w:cs="Arial"/>
          <w:bCs/>
          <w:color w:val="000000"/>
          <w:spacing w:val="10"/>
          <w:lang w:eastAsia="ru-RU"/>
        </w:rPr>
      </w:pPr>
      <w:r>
        <w:rPr>
          <w:rFonts w:ascii="Arial" w:hAnsi="Arial" w:cs="Arial"/>
          <w:b/>
          <w:bCs/>
          <w:color w:val="000000"/>
          <w:spacing w:val="10"/>
          <w:sz w:val="26"/>
          <w:szCs w:val="26"/>
          <w:lang w:eastAsia="ru-RU"/>
        </w:rPr>
        <w:t xml:space="preserve">Перечень мониторинговой информации </w:t>
      </w:r>
    </w:p>
    <w:p w14:paraId="33A8BAEB" w14:textId="77777777" w:rsidR="006F52EE" w:rsidRDefault="006F52EE">
      <w:pPr>
        <w:widowControl w:val="0"/>
        <w:tabs>
          <w:tab w:val="left" w:pos="1134"/>
          <w:tab w:val="left" w:leader="underscore" w:pos="2247"/>
          <w:tab w:val="left" w:leader="underscore" w:pos="3361"/>
        </w:tabs>
        <w:ind w:left="567" w:right="20"/>
        <w:jc w:val="both"/>
        <w:rPr>
          <w:rFonts w:ascii="Arial" w:hAnsi="Arial" w:cs="Arial"/>
          <w:color w:val="000000"/>
          <w:lang w:eastAsia="ru-RU"/>
        </w:rPr>
      </w:pPr>
    </w:p>
    <w:p w14:paraId="6B1792F3" w14:textId="77777777" w:rsidR="006F52EE" w:rsidRDefault="0057563A">
      <w:pPr>
        <w:widowControl w:val="0"/>
        <w:numPr>
          <w:ilvl w:val="0"/>
          <w:numId w:val="4"/>
        </w:numPr>
        <w:tabs>
          <w:tab w:val="left" w:pos="709"/>
          <w:tab w:val="left" w:leader="underscore" w:pos="2247"/>
          <w:tab w:val="left" w:leader="underscore" w:pos="3361"/>
        </w:tabs>
        <w:spacing w:line="276" w:lineRule="auto"/>
        <w:ind w:right="20"/>
        <w:contextualSpacing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Идентификационный номер БТ.</w:t>
      </w:r>
    </w:p>
    <w:p w14:paraId="026D5C5B" w14:textId="77777777" w:rsidR="006F52EE" w:rsidRDefault="0057563A">
      <w:pPr>
        <w:widowControl w:val="0"/>
        <w:numPr>
          <w:ilvl w:val="0"/>
          <w:numId w:val="4"/>
        </w:numPr>
        <w:tabs>
          <w:tab w:val="left" w:pos="203"/>
        </w:tabs>
        <w:spacing w:line="276" w:lineRule="auto"/>
        <w:contextualSpacing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Географическая широта местоположения транспортного средства.</w:t>
      </w:r>
    </w:p>
    <w:p w14:paraId="387CCE13" w14:textId="77777777" w:rsidR="006F52EE" w:rsidRDefault="0057563A">
      <w:pPr>
        <w:widowControl w:val="0"/>
        <w:numPr>
          <w:ilvl w:val="0"/>
          <w:numId w:val="4"/>
        </w:numPr>
        <w:tabs>
          <w:tab w:val="left" w:pos="208"/>
        </w:tabs>
        <w:spacing w:line="276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Географическая долгота местоположения транспортного средства.</w:t>
      </w:r>
    </w:p>
    <w:p w14:paraId="26FA7F88" w14:textId="77777777" w:rsidR="006F52EE" w:rsidRDefault="0057563A">
      <w:pPr>
        <w:widowControl w:val="0"/>
        <w:numPr>
          <w:ilvl w:val="0"/>
          <w:numId w:val="4"/>
        </w:numPr>
        <w:tabs>
          <w:tab w:val="left" w:pos="198"/>
        </w:tabs>
        <w:spacing w:line="276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Скорость движения транспортного средства.</w:t>
      </w:r>
    </w:p>
    <w:p w14:paraId="72FB399A" w14:textId="77777777" w:rsidR="006F52EE" w:rsidRDefault="0057563A">
      <w:pPr>
        <w:widowControl w:val="0"/>
        <w:numPr>
          <w:ilvl w:val="0"/>
          <w:numId w:val="4"/>
        </w:numPr>
        <w:tabs>
          <w:tab w:val="left" w:pos="203"/>
        </w:tabs>
        <w:spacing w:line="276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Путевой угол транспортного средства.</w:t>
      </w:r>
    </w:p>
    <w:p w14:paraId="2ADDC7CD" w14:textId="77777777" w:rsidR="006F52EE" w:rsidRDefault="0057563A">
      <w:pPr>
        <w:widowControl w:val="0"/>
        <w:numPr>
          <w:ilvl w:val="0"/>
          <w:numId w:val="4"/>
        </w:numPr>
        <w:tabs>
          <w:tab w:val="left" w:pos="203"/>
        </w:tabs>
        <w:spacing w:line="276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Время и дата фиксации местоположения транспортного сре</w:t>
      </w:r>
      <w:r>
        <w:rPr>
          <w:rFonts w:ascii="Arial" w:hAnsi="Arial" w:cs="Arial"/>
          <w:color w:val="000000"/>
          <w:lang w:eastAsia="ru-RU"/>
        </w:rPr>
        <w:t>дства.</w:t>
      </w:r>
    </w:p>
    <w:p w14:paraId="1946CAE2" w14:textId="77777777" w:rsidR="006F52EE" w:rsidRDefault="0057563A">
      <w:pPr>
        <w:widowControl w:val="0"/>
        <w:numPr>
          <w:ilvl w:val="0"/>
          <w:numId w:val="4"/>
        </w:numPr>
        <w:tabs>
          <w:tab w:val="left" w:pos="203"/>
        </w:tabs>
        <w:spacing w:line="276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Информация с датчика уровня топлива.</w:t>
      </w:r>
    </w:p>
    <w:p w14:paraId="4BE1F78C" w14:textId="77777777" w:rsidR="006F52EE" w:rsidRDefault="0057563A">
      <w:pPr>
        <w:widowControl w:val="0"/>
        <w:numPr>
          <w:ilvl w:val="0"/>
          <w:numId w:val="4"/>
        </w:numPr>
        <w:tabs>
          <w:tab w:val="left" w:pos="203"/>
        </w:tabs>
        <w:spacing w:line="276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Информация с датчика «Тревожная кнопка».</w:t>
      </w:r>
    </w:p>
    <w:p w14:paraId="36E29F96" w14:textId="77777777" w:rsidR="006F52EE" w:rsidRDefault="006F52EE">
      <w:pPr>
        <w:widowControl w:val="0"/>
        <w:tabs>
          <w:tab w:val="left" w:pos="1417"/>
        </w:tabs>
        <w:ind w:left="720" w:right="20"/>
        <w:jc w:val="both"/>
        <w:rPr>
          <w:rFonts w:ascii="Arial" w:hAnsi="Arial" w:cs="Arial"/>
          <w:color w:val="FF0000"/>
          <w:spacing w:val="10"/>
          <w:lang w:eastAsia="ru-RU"/>
        </w:rPr>
      </w:pPr>
    </w:p>
    <w:p w14:paraId="2F10FC49" w14:textId="77777777" w:rsidR="006F52EE" w:rsidRDefault="006F52EE">
      <w:pPr>
        <w:pStyle w:val="af8"/>
        <w:ind w:left="0"/>
        <w:jc w:val="center"/>
        <w:rPr>
          <w:rFonts w:ascii="Arial" w:hAnsi="Arial" w:cs="Arial"/>
        </w:rPr>
      </w:pPr>
    </w:p>
    <w:p w14:paraId="39AB383D" w14:textId="77777777" w:rsidR="006F52EE" w:rsidRDefault="006F52EE">
      <w:pPr>
        <w:pStyle w:val="af8"/>
        <w:ind w:left="0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6F52EE" w14:paraId="21FBD9F6" w14:textId="77777777">
        <w:trPr>
          <w:trHeight w:val="360"/>
        </w:trPr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994D14" w14:textId="77777777" w:rsidR="006F52EE" w:rsidRDefault="0057563A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Оператор: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2EFF10" w14:textId="77777777" w:rsidR="006F52EE" w:rsidRDefault="0057563A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Пользователь:</w:t>
            </w:r>
          </w:p>
        </w:tc>
      </w:tr>
      <w:tr w:rsidR="006F52EE" w14:paraId="0EADEF0F" w14:textId="77777777">
        <w:trPr>
          <w:trHeight w:val="360"/>
        </w:trPr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E58157" w14:textId="77777777" w:rsidR="006F52EE" w:rsidRDefault="0057563A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ГКУ ТО «ЦИТТО»</w:t>
            </w:r>
          </w:p>
          <w:p w14:paraId="609FD1AD" w14:textId="77777777" w:rsidR="006F52EE" w:rsidRDefault="006F52EE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6E3BC957" w14:textId="77777777" w:rsidR="006F52EE" w:rsidRDefault="006F52EE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06A7F33D" w14:textId="77777777" w:rsidR="006F52EE" w:rsidRDefault="0057563A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</w:t>
            </w:r>
          </w:p>
          <w:p w14:paraId="742B1C89" w14:textId="77777777" w:rsidR="006F52EE" w:rsidRDefault="006F52EE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34F2A882" w14:textId="77777777" w:rsidR="006F52EE" w:rsidRDefault="0057563A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 А.Р. Усманов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C375D10" w14:textId="77777777" w:rsidR="006F52EE" w:rsidRDefault="006F52EE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52FA26D9" w14:textId="77777777" w:rsidR="006F52EE" w:rsidRDefault="006F52EE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61B12C38" w14:textId="77777777" w:rsidR="006F52EE" w:rsidRDefault="006F52EE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64FA54EE" w14:textId="77777777" w:rsidR="006F52EE" w:rsidRDefault="006F52EE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72992093" w14:textId="77777777" w:rsidR="006F52EE" w:rsidRDefault="006F52EE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778399BD" w14:textId="77777777" w:rsidR="006F52EE" w:rsidRDefault="0057563A">
            <w:pPr>
              <w:pStyle w:val="af8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___________________ ___________ </w:t>
            </w:r>
          </w:p>
        </w:tc>
      </w:tr>
    </w:tbl>
    <w:p w14:paraId="41B8CE9E" w14:textId="77777777" w:rsidR="006F52EE" w:rsidRDefault="006F52EE"/>
    <w:sectPr w:rsidR="006F52EE">
      <w:footerReference w:type="default" r:id="rId9"/>
      <w:pgSz w:w="11906" w:h="16838"/>
      <w:pgMar w:top="568" w:right="850" w:bottom="709" w:left="1134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44F8C8E" w16cex:dateUtc="2025-03-17T05:51:5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44F8C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547DA" w14:textId="77777777" w:rsidR="006F52EE" w:rsidRDefault="0057563A">
      <w:r>
        <w:separator/>
      </w:r>
    </w:p>
  </w:endnote>
  <w:endnote w:type="continuationSeparator" w:id="0">
    <w:p w14:paraId="43922F24" w14:textId="77777777" w:rsidR="006F52EE" w:rsidRDefault="0057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CA2AF" w14:textId="77777777" w:rsidR="006F52EE" w:rsidRDefault="006F52EE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9E8FF" w14:textId="77777777" w:rsidR="006F52EE" w:rsidRDefault="0057563A">
      <w:r>
        <w:separator/>
      </w:r>
    </w:p>
  </w:footnote>
  <w:footnote w:type="continuationSeparator" w:id="0">
    <w:p w14:paraId="14BC4BD1" w14:textId="77777777" w:rsidR="006F52EE" w:rsidRDefault="00575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713F"/>
    <w:multiLevelType w:val="multilevel"/>
    <w:tmpl w:val="B44C6386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pStyle w:val="Headinga4"/>
      <w:suff w:val="space"/>
      <w:lvlText w:val="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a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a6"/>
      <w:suff w:val="space"/>
      <w:lvlText w:val=".%2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a7"/>
      <w:suff w:val="space"/>
      <w:lvlText w:val=".%2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a8"/>
      <w:suff w:val="space"/>
      <w:lvlText w:val=".%2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a9"/>
      <w:suff w:val="space"/>
      <w:lvlText w:val=".%2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.%2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Listbulleted"/>
      <w:suff w:val="space"/>
      <w:lvlText w:val=".%2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B52EC6"/>
    <w:multiLevelType w:val="multilevel"/>
    <w:tmpl w:val="64385192"/>
    <w:lvl w:ilvl="0">
      <w:start w:val="1"/>
      <w:numFmt w:val="decimal"/>
      <w:pStyle w:val="Headinga5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suff w:val="space"/>
      <w:lvlText w:val="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66507BB"/>
    <w:multiLevelType w:val="hybridMultilevel"/>
    <w:tmpl w:val="97A287B2"/>
    <w:lvl w:ilvl="0" w:tplc="5964E80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4118AA4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5EEDED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F96BD3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9FC4B2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204382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354806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56C067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7E4DC4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9776B82"/>
    <w:multiLevelType w:val="hybridMultilevel"/>
    <w:tmpl w:val="4728215A"/>
    <w:lvl w:ilvl="0" w:tplc="E9E49876">
      <w:start w:val="1"/>
      <w:numFmt w:val="decimal"/>
      <w:lvlText w:val="%1."/>
      <w:lvlJc w:val="left"/>
      <w:pPr>
        <w:ind w:left="720" w:hanging="360"/>
      </w:pPr>
    </w:lvl>
    <w:lvl w:ilvl="1" w:tplc="8B76B912">
      <w:start w:val="1"/>
      <w:numFmt w:val="lowerLetter"/>
      <w:lvlText w:val="%2."/>
      <w:lvlJc w:val="left"/>
      <w:pPr>
        <w:ind w:left="1440" w:hanging="360"/>
      </w:pPr>
    </w:lvl>
    <w:lvl w:ilvl="2" w:tplc="79704C74">
      <w:start w:val="1"/>
      <w:numFmt w:val="lowerRoman"/>
      <w:lvlText w:val="%3."/>
      <w:lvlJc w:val="right"/>
      <w:pPr>
        <w:ind w:left="2160" w:hanging="180"/>
      </w:pPr>
    </w:lvl>
    <w:lvl w:ilvl="3" w:tplc="8E40A7CA">
      <w:start w:val="1"/>
      <w:numFmt w:val="decimal"/>
      <w:lvlText w:val="%4."/>
      <w:lvlJc w:val="left"/>
      <w:pPr>
        <w:ind w:left="2880" w:hanging="360"/>
      </w:pPr>
    </w:lvl>
    <w:lvl w:ilvl="4" w:tplc="A39E8A08">
      <w:start w:val="1"/>
      <w:numFmt w:val="lowerLetter"/>
      <w:lvlText w:val="%5."/>
      <w:lvlJc w:val="left"/>
      <w:pPr>
        <w:ind w:left="3600" w:hanging="360"/>
      </w:pPr>
    </w:lvl>
    <w:lvl w:ilvl="5" w:tplc="F190AD76">
      <w:start w:val="1"/>
      <w:numFmt w:val="lowerRoman"/>
      <w:lvlText w:val="%6."/>
      <w:lvlJc w:val="right"/>
      <w:pPr>
        <w:ind w:left="4320" w:hanging="180"/>
      </w:pPr>
    </w:lvl>
    <w:lvl w:ilvl="6" w:tplc="FA505340">
      <w:start w:val="1"/>
      <w:numFmt w:val="decimal"/>
      <w:lvlText w:val="%7."/>
      <w:lvlJc w:val="left"/>
      <w:pPr>
        <w:ind w:left="5040" w:hanging="360"/>
      </w:pPr>
    </w:lvl>
    <w:lvl w:ilvl="7" w:tplc="55A87BDA">
      <w:start w:val="1"/>
      <w:numFmt w:val="lowerLetter"/>
      <w:lvlText w:val="%8."/>
      <w:lvlJc w:val="left"/>
      <w:pPr>
        <w:ind w:left="5760" w:hanging="360"/>
      </w:pPr>
    </w:lvl>
    <w:lvl w:ilvl="8" w:tplc="BD62D5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EE"/>
    <w:rsid w:val="0057563A"/>
    <w:rsid w:val="006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1384A-997F-4EAD-83A4-15B69C80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Bodytextafterheading"/>
    <w:link w:val="10"/>
    <w:qFormat/>
    <w:pPr>
      <w:keepNext/>
      <w:keepLines/>
      <w:pageBreakBefore/>
      <w:spacing w:before="120" w:line="280" w:lineRule="atLeast"/>
      <w:outlineLvl w:val="0"/>
    </w:pPr>
    <w:rPr>
      <w:rFonts w:ascii="Arial" w:hAnsi="Arial" w:cs="Arial"/>
      <w:b/>
      <w:sz w:val="32"/>
      <w:szCs w:val="20"/>
    </w:rPr>
  </w:style>
  <w:style w:type="paragraph" w:styleId="2">
    <w:name w:val="heading 2"/>
    <w:basedOn w:val="a"/>
    <w:next w:val="Bodytextafterheading"/>
    <w:link w:val="20"/>
    <w:qFormat/>
    <w:pPr>
      <w:keepNext/>
      <w:keepLines/>
      <w:spacing w:before="360" w:line="280" w:lineRule="atLeast"/>
      <w:outlineLvl w:val="1"/>
    </w:pPr>
    <w:rPr>
      <w:rFonts w:ascii="Arial" w:hAnsi="Arial" w:cs="Arial"/>
      <w:b/>
      <w:sz w:val="26"/>
      <w:szCs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b">
    <w:name w:val="Текст сноски Знак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Symbol" w:hAnsi="Symbol" w:cs="Symbol"/>
      <w:b w:val="0"/>
      <w:i w:val="0"/>
      <w:sz w:val="24"/>
    </w:rPr>
  </w:style>
  <w:style w:type="character" w:customStyle="1" w:styleId="WW8Num1z1">
    <w:name w:val="WW8Num1z1"/>
    <w:rPr>
      <w:rFonts w:ascii="Times New Roman" w:hAnsi="Times New Roman" w:cs="Times New Roman"/>
      <w:b w:val="0"/>
      <w:i w:val="0"/>
      <w:sz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color w:val="000000"/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4z1">
    <w:name w:val="WW8Num4z1"/>
    <w:rPr>
      <w:sz w:val="24"/>
      <w:szCs w:val="24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6z2">
    <w:name w:val="WW8Num6z2"/>
    <w:rPr>
      <w:b w:val="0"/>
      <w:i w:val="0"/>
    </w:rPr>
  </w:style>
  <w:style w:type="character" w:customStyle="1" w:styleId="WW8Num6z3">
    <w:name w:val="WW8Num6z3"/>
    <w:rPr>
      <w:rFonts w:ascii="Symbol" w:hAnsi="Symbol" w:cs="Symbol"/>
      <w:b w:val="0"/>
      <w:i w:val="0"/>
      <w:sz w:val="24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9z2">
    <w:name w:val="WW8Num9z2"/>
    <w:rPr>
      <w:rFonts w:ascii="Symbol" w:hAnsi="Symbol" w:cs="Symbol"/>
      <w:b w:val="0"/>
      <w:i w:val="0"/>
      <w:sz w:val="24"/>
    </w:rPr>
  </w:style>
  <w:style w:type="character" w:customStyle="1" w:styleId="WW8Num9z3">
    <w:name w:val="WW8Num9z3"/>
    <w:rPr>
      <w:color w:val="000000"/>
    </w:rPr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2z0">
    <w:name w:val="WW8Num12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3z1">
    <w:name w:val="WW8Num13z1"/>
    <w:rPr>
      <w:rFonts w:ascii="Symbol" w:hAnsi="Symbol" w:cs="Symbol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4z2">
    <w:name w:val="WW8Num14z2"/>
    <w:rPr>
      <w:b w:val="0"/>
      <w:i w:val="0"/>
    </w:rPr>
  </w:style>
  <w:style w:type="character" w:customStyle="1" w:styleId="WW8Num14z3">
    <w:name w:val="WW8Num14z3"/>
    <w:rPr>
      <w:color w:val="000000"/>
    </w:rPr>
  </w:style>
  <w:style w:type="character" w:customStyle="1" w:styleId="13">
    <w:name w:val="Основной шрифт абзаца1"/>
  </w:style>
  <w:style w:type="character" w:styleId="af3">
    <w:name w:val="Hyperlink"/>
    <w:rPr>
      <w:color w:val="0000FF"/>
      <w:u w:val="single"/>
    </w:rPr>
  </w:style>
  <w:style w:type="character" w:customStyle="1" w:styleId="SmalltabletextChar">
    <w:name w:val="Small table text Char"/>
    <w:rPr>
      <w:sz w:val="18"/>
      <w:lang w:val="ru-RU" w:bidi="ar-SA"/>
    </w:rPr>
  </w:style>
  <w:style w:type="character" w:customStyle="1" w:styleId="af4">
    <w:name w:val="Символ сноски"/>
    <w:rPr>
      <w:vertAlign w:val="superscript"/>
    </w:rPr>
  </w:style>
  <w:style w:type="character" w:customStyle="1" w:styleId="14">
    <w:name w:val="Знак примечания1"/>
    <w:rPr>
      <w:sz w:val="16"/>
      <w:szCs w:val="16"/>
    </w:rPr>
  </w:style>
  <w:style w:type="paragraph" w:customStyle="1" w:styleId="15">
    <w:name w:val="Заголовок1"/>
    <w:basedOn w:val="a"/>
    <w:next w:val="a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5">
    <w:name w:val="Body Text"/>
    <w:pPr>
      <w:spacing w:before="240" w:line="280" w:lineRule="exact"/>
    </w:pPr>
    <w:rPr>
      <w:sz w:val="22"/>
      <w:lang w:eastAsia="zh-CN"/>
    </w:rPr>
  </w:style>
  <w:style w:type="paragraph" w:styleId="af6">
    <w:name w:val="List"/>
    <w:basedOn w:val="af5"/>
    <w:rPr>
      <w:rFonts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Bodytextafterheading">
    <w:name w:val="Body text after heading"/>
    <w:basedOn w:val="af5"/>
    <w:next w:val="af5"/>
    <w:pPr>
      <w:spacing w:before="120"/>
    </w:pPr>
  </w:style>
  <w:style w:type="paragraph" w:customStyle="1" w:styleId="Bodydescription">
    <w:name w:val="Body description"/>
    <w:basedOn w:val="af5"/>
    <w:rPr>
      <w:i/>
      <w:color w:val="0000FF"/>
    </w:rPr>
  </w:style>
  <w:style w:type="paragraph" w:customStyle="1" w:styleId="Tabletext">
    <w:name w:val="Table text"/>
    <w:basedOn w:val="af5"/>
    <w:pPr>
      <w:spacing w:before="0"/>
    </w:pPr>
  </w:style>
  <w:style w:type="paragraph" w:customStyle="1" w:styleId="Headinga3">
    <w:name w:val="Heading a3"/>
    <w:basedOn w:val="3"/>
    <w:next w:val="Bodytextafterheading"/>
    <w:pPr>
      <w:keepLines/>
      <w:numPr>
        <w:ilvl w:val="2"/>
        <w:numId w:val="1"/>
      </w:numPr>
      <w:tabs>
        <w:tab w:val="left" w:pos="360"/>
      </w:tabs>
      <w:spacing w:before="360" w:after="0" w:line="280" w:lineRule="atLeast"/>
    </w:pPr>
    <w:rPr>
      <w:sz w:val="22"/>
      <w:szCs w:val="20"/>
    </w:rPr>
  </w:style>
  <w:style w:type="paragraph" w:customStyle="1" w:styleId="Headinga4">
    <w:name w:val="Heading a4"/>
    <w:basedOn w:val="4"/>
    <w:next w:val="Bodytextafterheading"/>
    <w:pPr>
      <w:keepLines/>
      <w:numPr>
        <w:ilvl w:val="1"/>
        <w:numId w:val="1"/>
      </w:numPr>
      <w:tabs>
        <w:tab w:val="left" w:pos="360"/>
      </w:tabs>
      <w:spacing w:before="360" w:after="0" w:line="280" w:lineRule="atLeast"/>
      <w:outlineLvl w:val="1"/>
    </w:pPr>
    <w:rPr>
      <w:rFonts w:ascii="Arial" w:hAnsi="Arial" w:cs="Arial"/>
      <w:sz w:val="22"/>
      <w:szCs w:val="20"/>
    </w:rPr>
  </w:style>
  <w:style w:type="paragraph" w:customStyle="1" w:styleId="Headinga5">
    <w:name w:val="Heading a5"/>
    <w:basedOn w:val="5"/>
    <w:next w:val="Bodytextafterheading"/>
    <w:pPr>
      <w:keepNext/>
      <w:keepLines/>
      <w:numPr>
        <w:numId w:val="2"/>
      </w:numPr>
      <w:tabs>
        <w:tab w:val="left" w:pos="360"/>
      </w:tabs>
      <w:spacing w:before="360" w:after="0" w:line="280" w:lineRule="atLeast"/>
    </w:pPr>
    <w:rPr>
      <w:rFonts w:ascii="Arial" w:hAnsi="Arial" w:cs="Arial"/>
      <w:i w:val="0"/>
      <w:iCs w:val="0"/>
      <w:sz w:val="22"/>
      <w:szCs w:val="20"/>
    </w:rPr>
  </w:style>
  <w:style w:type="paragraph" w:customStyle="1" w:styleId="Headinga6">
    <w:name w:val="Heading a6"/>
    <w:basedOn w:val="6"/>
    <w:next w:val="Bodytextafterheading"/>
    <w:pPr>
      <w:keepNext/>
      <w:keepLines/>
      <w:numPr>
        <w:ilvl w:val="3"/>
        <w:numId w:val="1"/>
      </w:numPr>
      <w:tabs>
        <w:tab w:val="left" w:pos="360"/>
      </w:tabs>
      <w:spacing w:before="360" w:after="0" w:line="280" w:lineRule="atLeast"/>
      <w:outlineLvl w:val="3"/>
    </w:pPr>
    <w:rPr>
      <w:rFonts w:ascii="Arial" w:hAnsi="Arial" w:cs="Arial"/>
      <w:szCs w:val="20"/>
    </w:rPr>
  </w:style>
  <w:style w:type="paragraph" w:customStyle="1" w:styleId="Headinga7">
    <w:name w:val="Heading a7"/>
    <w:basedOn w:val="7"/>
    <w:next w:val="Bodytextafterheading"/>
    <w:pPr>
      <w:keepNext/>
      <w:keepLines/>
      <w:numPr>
        <w:ilvl w:val="4"/>
        <w:numId w:val="1"/>
      </w:numPr>
      <w:tabs>
        <w:tab w:val="left" w:pos="360"/>
      </w:tabs>
      <w:spacing w:before="360" w:after="0" w:line="280" w:lineRule="atLeast"/>
      <w:outlineLvl w:val="4"/>
    </w:pPr>
    <w:rPr>
      <w:rFonts w:ascii="Arial" w:hAnsi="Arial" w:cs="Arial"/>
      <w:b/>
      <w:bCs/>
      <w:sz w:val="22"/>
      <w:szCs w:val="20"/>
    </w:rPr>
  </w:style>
  <w:style w:type="paragraph" w:customStyle="1" w:styleId="Headinga8">
    <w:name w:val="Heading a8"/>
    <w:basedOn w:val="8"/>
    <w:next w:val="Bodytextafterheading"/>
    <w:pPr>
      <w:keepNext/>
      <w:keepLines/>
      <w:numPr>
        <w:ilvl w:val="5"/>
        <w:numId w:val="1"/>
      </w:numPr>
      <w:tabs>
        <w:tab w:val="left" w:pos="360"/>
      </w:tabs>
      <w:spacing w:before="360" w:after="0" w:line="280" w:lineRule="atLeast"/>
      <w:outlineLvl w:val="5"/>
    </w:pPr>
    <w:rPr>
      <w:rFonts w:ascii="Arial" w:hAnsi="Arial" w:cs="Arial"/>
      <w:b/>
      <w:bCs/>
      <w:i w:val="0"/>
      <w:iCs w:val="0"/>
      <w:sz w:val="22"/>
      <w:szCs w:val="20"/>
    </w:rPr>
  </w:style>
  <w:style w:type="paragraph" w:customStyle="1" w:styleId="Headinga9">
    <w:name w:val="Heading a9"/>
    <w:basedOn w:val="9"/>
    <w:next w:val="Bodytextafterheading"/>
    <w:pPr>
      <w:keepNext/>
      <w:keepLines/>
      <w:numPr>
        <w:ilvl w:val="6"/>
        <w:numId w:val="1"/>
      </w:numPr>
      <w:tabs>
        <w:tab w:val="left" w:pos="360"/>
      </w:tabs>
      <w:spacing w:before="360" w:after="0" w:line="280" w:lineRule="atLeast"/>
      <w:outlineLvl w:val="6"/>
    </w:pPr>
    <w:rPr>
      <w:b/>
      <w:bCs/>
      <w:szCs w:val="20"/>
    </w:rPr>
  </w:style>
  <w:style w:type="paragraph" w:customStyle="1" w:styleId="Listbulleted">
    <w:name w:val="List bulleted"/>
    <w:basedOn w:val="af5"/>
    <w:pPr>
      <w:numPr>
        <w:ilvl w:val="8"/>
        <w:numId w:val="1"/>
      </w:numPr>
      <w:outlineLvl w:val="8"/>
    </w:pPr>
  </w:style>
  <w:style w:type="paragraph" w:customStyle="1" w:styleId="Tableheader">
    <w:name w:val="Table header"/>
    <w:basedOn w:val="Tabletext"/>
    <w:pPr>
      <w:keepNext/>
    </w:pPr>
    <w:rPr>
      <w:rFonts w:ascii="Arial" w:hAnsi="Arial" w:cs="Arial"/>
      <w:b/>
      <w:sz w:val="18"/>
    </w:rPr>
  </w:style>
  <w:style w:type="paragraph" w:customStyle="1" w:styleId="Smalltabletext">
    <w:name w:val="Small table text"/>
    <w:basedOn w:val="af5"/>
    <w:pPr>
      <w:spacing w:before="0" w:line="240" w:lineRule="auto"/>
    </w:pPr>
    <w:rPr>
      <w:sz w:val="18"/>
    </w:rPr>
  </w:style>
  <w:style w:type="paragraph" w:customStyle="1" w:styleId="Listbulleteda">
    <w:name w:val="List bulleted a"/>
    <w:basedOn w:val="Listbulleted"/>
    <w:pPr>
      <w:numPr>
        <w:ilvl w:val="0"/>
        <w:numId w:val="0"/>
      </w:numPr>
      <w:spacing w:before="0"/>
    </w:pPr>
  </w:style>
  <w:style w:type="paragraph" w:styleId="ac">
    <w:name w:val="footnote text"/>
    <w:basedOn w:val="af5"/>
    <w:link w:val="ab"/>
    <w:pPr>
      <w:spacing w:before="40" w:after="80" w:line="240" w:lineRule="auto"/>
    </w:pPr>
    <w:rPr>
      <w:sz w:val="18"/>
    </w:rPr>
  </w:style>
  <w:style w:type="paragraph" w:customStyle="1" w:styleId="410">
    <w:name w:val="Указатель 41"/>
    <w:basedOn w:val="a"/>
    <w:next w:val="a"/>
    <w:pPr>
      <w:spacing w:after="40"/>
      <w:ind w:left="72" w:hanging="72"/>
    </w:pPr>
    <w:rPr>
      <w:rFonts w:ascii="Arial" w:hAnsi="Arial" w:cs="Arial"/>
      <w:b/>
      <w:sz w:val="20"/>
    </w:rPr>
  </w:style>
  <w:style w:type="paragraph" w:customStyle="1" w:styleId="tabletext0">
    <w:name w:val="tabletext"/>
    <w:basedOn w:val="a"/>
    <w:pPr>
      <w:spacing w:line="280" w:lineRule="atLeast"/>
    </w:pPr>
    <w:rPr>
      <w:sz w:val="22"/>
      <w:szCs w:val="22"/>
    </w:rPr>
  </w:style>
  <w:style w:type="paragraph" w:styleId="af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Pr>
      <w:sz w:val="20"/>
      <w:szCs w:val="20"/>
    </w:rPr>
  </w:style>
  <w:style w:type="paragraph" w:styleId="afa">
    <w:name w:val="annotation subject"/>
    <w:basedOn w:val="17"/>
    <w:next w:val="17"/>
    <w:rPr>
      <w:b/>
      <w:bCs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character" w:styleId="afd">
    <w:name w:val="annotation reference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rPr>
      <w:lang w:eastAsia="zh-CN"/>
    </w:rPr>
  </w:style>
  <w:style w:type="paragraph" w:styleId="aff0">
    <w:name w:val="Revision"/>
    <w:hidden/>
    <w:uiPriority w:val="99"/>
    <w:semiHidden/>
    <w:rPr>
      <w:sz w:val="24"/>
      <w:szCs w:val="24"/>
      <w:lang w:eastAsia="zh-CN"/>
    </w:rPr>
  </w:style>
  <w:style w:type="paragraph" w:styleId="aff1">
    <w:name w:val="head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link w:val="aff1"/>
    <w:uiPriority w:val="99"/>
    <w:rPr>
      <w:sz w:val="24"/>
      <w:szCs w:val="24"/>
      <w:lang w:eastAsia="zh-CN"/>
    </w:rPr>
  </w:style>
  <w:style w:type="paragraph" w:styleId="aff3">
    <w:name w:val="foot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link w:val="aff3"/>
    <w:uiPriority w:val="9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.72t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t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1569</Words>
  <Characters>8945</Characters>
  <Application>Microsoft Office Word</Application>
  <DocSecurity>0</DocSecurity>
  <Lines>74</Lines>
  <Paragraphs>20</Paragraphs>
  <ScaleCrop>false</ScaleCrop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Совместный приказ ДЗТО и ДЗ г</dc:title>
  <dc:creator>panchenko_nm</dc:creator>
  <cp:lastModifiedBy>Лотова Надежда Алексеевна</cp:lastModifiedBy>
  <cp:revision>10</cp:revision>
  <dcterms:created xsi:type="dcterms:W3CDTF">2015-04-06T06:48:00Z</dcterms:created>
  <dcterms:modified xsi:type="dcterms:W3CDTF">2025-03-17T07:10:00Z</dcterms:modified>
  <cp:version>983040</cp:version>
</cp:coreProperties>
</file>