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-106" w:right="-42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0" w:left="220" w:right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Информационная система управления ресурсами медицинских организаций Тюменской области</w:t>
            </w:r>
          </w:p>
        </w:tc>
      </w:tr>
    </w:tbl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4"/>
          <w:szCs w:val="24"/>
          <w:shd w:fill="FBFBFB" w:val="clear"/>
        </w:rPr>
      </w:pPr>
      <w:r>
        <w:rPr>
          <w:rFonts w:cs="Times New Roman" w:ascii="Times New Roman" w:hAnsi="Times New Roman"/>
          <w:b/>
          <w:sz w:val="24"/>
          <w:szCs w:val="24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4"/>
          <w:szCs w:val="24"/>
          <w:shd w:fill="FBFBFB" w:val="clear"/>
        </w:rPr>
      </w:pPr>
      <w:r>
        <w:rPr>
          <w:rFonts w:cs="Times New Roman" w:ascii="Times New Roman" w:hAnsi="Times New Roman"/>
          <w:b/>
          <w:sz w:val="24"/>
          <w:szCs w:val="24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СЭМД «Экстренное извещение о случае острого отравления химической этиологии»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eastAsia="Times New Roman" w:cs="Times New Roman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ind w:left="-280"/>
        <w:jc w:val="center"/>
        <w:rPr>
          <w:rFonts w:eastAsia="Times New Roman" w:cs="Times New Roman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2024 г.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snapToGrid w:val="false"/>
        <w:spacing w:lineRule="auto" w:line="360" w:before="120" w:after="120"/>
        <w:ind w:firstLine="720" w:left="-720" w:right="170"/>
        <w:jc w:val="center"/>
        <w:outlineLvl w:val="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 Термины и определения</w:t>
      </w:r>
    </w:p>
    <w:tbl>
      <w:tblPr>
        <w:tblW w:w="96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0" w:type="dxa"/>
        </w:tblCellMar>
      </w:tblPr>
      <w:tblGrid>
        <w:gridCol w:w="4815"/>
        <w:gridCol w:w="4814"/>
      </w:tblGrid>
      <w:tr>
        <w:trPr/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Термин/сокращение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>
        <w:trPr/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документ</w:t>
            </w:r>
          </w:p>
        </w:tc>
      </w:tr>
      <w:tr>
        <w:trPr/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ШМД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Шаблон медицинского документа</w:t>
            </w:r>
          </w:p>
        </w:tc>
      </w:tr>
      <w:tr>
        <w:trPr/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ОДП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данные пациента</w:t>
            </w:r>
          </w:p>
        </w:tc>
      </w:tr>
      <w:tr>
        <w:trPr/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ЭЦП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 цифровая подпись</w:t>
            </w:r>
          </w:p>
        </w:tc>
      </w:tr>
      <w:tr>
        <w:trPr/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РЭМД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 электронных медицинских документов</w:t>
            </w:r>
          </w:p>
        </w:tc>
      </w:tr>
      <w:tr>
        <w:trPr/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СЭМД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5" w:type="dxa"/>
            </w:tcMar>
            <w:vAlign w:val="center"/>
          </w:tcPr>
          <w:p>
            <w:pPr>
              <w:pStyle w:val="Style20"/>
              <w:spacing w:before="0" w:after="283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Структурированный электронный медицинский документ</w:t>
            </w:r>
          </w:p>
        </w:tc>
      </w:tr>
    </w:tbl>
    <w:p>
      <w:pPr>
        <w:pStyle w:val="BodyText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Heading1"/>
        <w:keepNext w:val="true"/>
        <w:spacing w:before="480" w:after="283"/>
        <w:ind w:firstLine="709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Настройка рабочего места</w:t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работы с разделом «Контроль исполнения», необходимо произвести настройки. Для этого необходимо перейти в подсистему «Контроль исполнения», далее в разделе «Настройки» нажать ссылку «Настройки контроля исполнения» (Рис. 1).</w:t>
      </w:r>
    </w:p>
    <w:p>
      <w:pPr>
        <w:pStyle w:val="BodyText"/>
        <w:ind w:firstLine="709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115050" cy="3009900"/>
            <wp:effectExtent l="0" t="0" r="0" b="0"/>
            <wp:docPr id="1" name="Изображение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0"/>
          <w:szCs w:val="20"/>
        </w:rPr>
        <w:t>Рисунок 1 — Переход по ссылке «Настройки контроля исполнения»</w:t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открывшейся форме «Настройки контроля исполнения» необходимо перейти на вкладку «Сотрудники пользователя» и нажать кнопку «Создать», в случае отсутствующих записей в данной вкладке (Рис. 2).</w:t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ind w:firstLine="709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115050" cy="195262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0"/>
          <w:szCs w:val="20"/>
        </w:rPr>
        <w:t>Рисунок 2 — Создание сотрудника пользователя</w:t>
      </w:r>
    </w:p>
    <w:p>
      <w:pPr>
        <w:pStyle w:val="BodyText"/>
        <w:ind w:firstLine="709" w:left="0" w:right="0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BodyText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открывшейся форме выбрать сотрудника и при необходимости поставить отметку «Сотрудник по умолчанию» (Рис. 3).</w:t>
      </w:r>
    </w:p>
    <w:p>
      <w:pPr>
        <w:pStyle w:val="BodyText"/>
        <w:ind w:hanging="0" w:left="0" w:right="0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81120" cy="2295525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0"/>
          <w:szCs w:val="20"/>
        </w:rPr>
        <w:t>Рисунок 3 — Выбор сотрудника</w:t>
      </w:r>
    </w:p>
    <w:p>
      <w:pPr>
        <w:pStyle w:val="BodyText"/>
        <w:ind w:hanging="0" w:left="0" w:right="0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выбора пользователя необходимо нажать «Записать и закрыть» (Рис. 3). Вновь откроется форма «Настройки контроля исполнения» (Рис. 1), ей необходимо закрыть, для обновления произведённых настроек.</w:t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необходимо указать врача и его кабинет, для этого переходим в «Настройки контроля исполнения» (Рис. 1). </w:t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вкладке «Основное» формы «Настройки контроля исполнения» заполнить поля «Врач» и «Основной кабинет» (Рис. 4), значения для выбора будут доступны из настроек сотрудника, которого указали ранее.</w:t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заполнения полей, нажать «Записать и закрыть». Настройки  раздела «Контроль исполнения» производятся один раз.</w:t>
      </w:r>
    </w:p>
    <w:p>
      <w:pPr>
        <w:pStyle w:val="BodyText"/>
        <w:ind w:firstLine="709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926965" cy="2418715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709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Рисунок 4 — Заполнение формы «Настройки контроля исполнения»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</w:t>
      </w:r>
      <w:bookmarkStart w:id="0" w:name="_Toc9883683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Пользовательская настройка Системы</w:t>
      </w:r>
      <w:bookmarkEnd w:id="0"/>
    </w:p>
    <w:p>
      <w:pPr>
        <w:pStyle w:val="12"/>
        <w:spacing w:lineRule="auto" w:line="360"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пользователя никаких настроек системы не требуется.</w:t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</w:t>
      </w:r>
      <w:bookmarkStart w:id="1" w:name="_Toc98836831"/>
      <w:r>
        <w:rPr>
          <w:rFonts w:cs="Times New Roman" w:ascii="Times New Roman" w:hAnsi="Times New Roman"/>
          <w:b/>
          <w:sz w:val="28"/>
          <w:szCs w:val="28"/>
        </w:rPr>
        <w:t xml:space="preserve"> Пользовательская инструкция</w:t>
      </w:r>
      <w:bookmarkEnd w:id="1"/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Войти в базу МИС под правами «Врач амбулатории (СМП)» в подсистему «Контроль исполнения» - «АРМ врача Поликлиника». В перечне записанных пациентов найти нужного, двойным щелчком по пациенту перейти во вкладку «Приемы», выбрать случай и добавить посещение, либо добавить новый случай (рис. </w:t>
      </w:r>
      <w:r>
        <w:rPr>
          <w:rFonts w:cs="Times New Roman" w:ascii="Times New Roman" w:hAnsi="Times New Roman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4840605"/>
            <wp:effectExtent l="0" t="0" r="0" b="0"/>
            <wp:wrapSquare wrapText="largest"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84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="Times New Roman" w:hAnsi="Times New Roman"/>
          <w:i/>
          <w:color w:val="000000"/>
          <w:sz w:val="20"/>
          <w:szCs w:val="20"/>
        </w:rPr>
        <w:t>Рисунок</w:t>
      </w:r>
      <w:r>
        <w:rPr>
          <w:rFonts w:eastAsia="Times New Roman" w:ascii="Times New Roman" w:hAnsi="Times New Roman"/>
          <w:i/>
          <w:color w:val="000000"/>
          <w:sz w:val="20"/>
          <w:szCs w:val="20"/>
          <w:lang w:val="en-US"/>
        </w:rPr>
        <w:t xml:space="preserve"> 5 </w:t>
      </w:r>
      <w:r>
        <w:rPr>
          <w:rFonts w:eastAsia="Times New Roman" w:ascii="Times New Roman" w:hAnsi="Times New Roman"/>
          <w:i/>
          <w:color w:val="000000"/>
          <w:sz w:val="20"/>
          <w:szCs w:val="20"/>
        </w:rPr>
        <w:t>– Выбор ШМД</w:t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 w:eastAsia="Times New Roman"/>
          <w:i/>
          <w:i/>
          <w:color w:val="000000"/>
          <w:sz w:val="20"/>
          <w:szCs w:val="20"/>
        </w:rPr>
      </w:pPr>
      <w:r>
        <w:rPr>
          <w:rFonts w:eastAsia="Times New Roman" w:ascii="Times New Roman" w:hAnsi="Times New Roman"/>
          <w:i/>
          <w:color w:val="000000"/>
          <w:sz w:val="20"/>
          <w:szCs w:val="20"/>
        </w:rPr>
      </w:r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открывшейся форме выбора документов выбрать ШМД «Экстренное извещение о случае острого отравления химической этиологии» (Рис. </w:t>
      </w:r>
      <w:r>
        <w:rPr>
          <w:rFonts w:cs="Times New Roman" w:ascii="Times New Roman" w:hAnsi="Times New Roman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er"/>
        <w:tabs>
          <w:tab w:val="clear" w:pos="4677"/>
          <w:tab w:val="clear" w:pos="9355"/>
        </w:tabs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69050" cy="2369820"/>
            <wp:effectExtent l="0" t="0" r="0" b="0"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236982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Рисунок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  <w:lang w:val="en-US"/>
        </w:rPr>
        <w:t xml:space="preserve"> 6 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– Выбор ШМД «Экстренное извещение о случае острого отравления химической этиологии»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36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Normal"/>
        <w:suppressAutoHyphens w:val="true"/>
        <w:spacing w:lineRule="auto" w:line="24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Heading7"/>
        <w:numPr>
          <w:ilvl w:val="6"/>
          <w:numId w:val="2"/>
        </w:numPr>
        <w:spacing w:lineRule="auto" w:line="360"/>
        <w:ind w:firstLine="720" w:left="0" w:right="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форме создания документа заполнить необходимые поля 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подсвечены красным)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нажать кнопку «Документ готов», подписать документ ЭЦП, далее нажать кнопку «Записать и закрыть» (рис.</w:t>
      </w:r>
      <w:r>
        <w:rPr>
          <w:rFonts w:cs="Times New Roman" w:ascii="Times New Roman" w:hAnsi="Times New Roman"/>
          <w:sz w:val="28"/>
          <w:szCs w:val="28"/>
          <w:lang w:val="en-US"/>
        </w:rPr>
        <w:t>7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2747010"/>
            <wp:effectExtent l="0" t="0" r="0" b="0"/>
            <wp:wrapSquare wrapText="largest"/>
            <wp:docPr id="7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Рисунок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  <w:lang w:val="en-US"/>
        </w:rPr>
        <w:t xml:space="preserve"> 7 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– Форма ШМД «Экстренное извещение о случае острого отравления химической этиологии»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в подсистеме «врач амбулатории»</w:t>
      </w:r>
    </w:p>
    <w:p>
      <w:pPr>
        <w:pStyle w:val="Header"/>
        <w:tabs>
          <w:tab w:val="clear" w:pos="4677"/>
          <w:tab w:val="clear" w:pos="9355"/>
        </w:tabs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Toc98837169"/>
      <w:r>
        <w:rPr>
          <w:rFonts w:cs="Times New Roman" w:ascii="Times New Roman" w:hAnsi="Times New Roman"/>
          <w:sz w:val="28"/>
          <w:szCs w:val="28"/>
        </w:rPr>
        <w:t xml:space="preserve">Войти в базу МИС под правами «Врач стационара»/«Приемное отделение» в подсистеме «Отделение»/«Приемное отделение» выбрать пациента, На открывшейся форме выбора документов выбрать ШМД «Экстренное извещение о случае острого отравления химической этиологии» (Рис. </w:t>
      </w:r>
      <w:r>
        <w:rPr>
          <w:rFonts w:cs="Times New Roman" w:ascii="Times New Roman" w:hAnsi="Times New Roman"/>
          <w:sz w:val="28"/>
          <w:szCs w:val="28"/>
          <w:lang w:val="ru-RU"/>
        </w:rPr>
        <w:t>8</w:t>
      </w:r>
      <w:r>
        <w:rPr>
          <w:rFonts w:cs="Times New Roman" w:ascii="Times New Roman" w:hAnsi="Times New Roman"/>
          <w:sz w:val="28"/>
          <w:szCs w:val="28"/>
        </w:rPr>
        <w:t>).</w:t>
      </w:r>
      <w:bookmarkEnd w:id="2"/>
    </w:p>
    <w:p>
      <w:pPr>
        <w:pStyle w:val="Header"/>
        <w:tabs>
          <w:tab w:val="clear" w:pos="4677"/>
          <w:tab w:val="clear" w:pos="9355"/>
        </w:tabs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2711450"/>
            <wp:effectExtent l="0" t="0" r="0" b="0"/>
            <wp:wrapSquare wrapText="largest"/>
            <wp:docPr id="8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Рисунок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  <w:lang w:val="en-US"/>
        </w:rPr>
        <w:t xml:space="preserve"> 8 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– форма ШМД «Экстренное извещение о случае острого отравления химической этиологии»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в подсистеме «Отделение»</w:t>
      </w:r>
    </w:p>
    <w:p>
      <w:pPr>
        <w:pStyle w:val="Heading7"/>
        <w:numPr>
          <w:ilvl w:val="6"/>
          <w:numId w:val="2"/>
        </w:numPr>
        <w:spacing w:lineRule="auto" w:line="360"/>
        <w:ind w:firstLine="720" w:left="0" w:right="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форме создания документа (рис. 8) заполнить необходимые поля (подсвечены красным), </w:t>
      </w:r>
      <w:r>
        <w:rPr>
          <w:rFonts w:cs="Times New Roman" w:ascii="Times New Roman" w:hAnsi="Times New Roman"/>
          <w:sz w:val="28"/>
          <w:szCs w:val="28"/>
        </w:rPr>
        <w:t>нажать кнопку «Документ готов», подписать документ ЭЦП, далее нажать кнопку «Записать и закрыть» (рис.</w:t>
      </w:r>
      <w:r>
        <w:rPr>
          <w:rFonts w:cs="Times New Roman" w:ascii="Times New Roman" w:hAnsi="Times New Roman"/>
          <w:sz w:val="28"/>
          <w:szCs w:val="28"/>
          <w:lang w:val="en-US"/>
        </w:rPr>
        <w:t>9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1322705"/>
            <wp:effectExtent l="0" t="0" r="0" b="0"/>
            <wp:wrapSquare wrapText="largest"/>
            <wp:docPr id="9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Рисунок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  <w:lang w:val="en-US"/>
        </w:rPr>
        <w:t xml:space="preserve"> 9 </w:t>
      </w:r>
      <w:r>
        <w:rPr>
          <w:rFonts w:eastAsia="Times New Roman" w:cs="Times New Roman" w:ascii="Times New Roman" w:hAnsi="Times New Roman"/>
          <w:i/>
          <w:color w:val="000000"/>
          <w:sz w:val="20"/>
          <w:szCs w:val="20"/>
        </w:rPr>
        <w:t>– Форма ШМД «Экстренное извещение о случае острого отравления химической этиологии»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ListParagraph"/>
        <w:suppressAutoHyphens w:val="true"/>
        <w:spacing w:lineRule="auto" w:line="360"/>
        <w:ind w:lef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Дополнительные поля, которые были добавлены это: Комбинированное отравление и алкогольное отравление,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не являются обязательными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. (Рис. 10)</w:t>
      </w:r>
    </w:p>
    <w:p>
      <w:pPr>
        <w:pStyle w:val="ListParagraph"/>
        <w:suppressAutoHyphens w:val="true"/>
        <w:spacing w:lineRule="auto" w:line="36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360"/>
        <w:ind w:hanging="0" w:left="576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95475" cy="457200"/>
            <wp:effectExtent l="0" t="0" r="0" b="0"/>
            <wp:wrapTopAndBottom/>
            <wp:docPr id="10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</w:rPr>
        <w:t>Рисунок 10 – добавленные поля</w:t>
      </w:r>
    </w:p>
    <w:p>
      <w:pPr>
        <w:pStyle w:val="Heading3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7"/>
        <w:numPr>
          <w:ilvl w:val="6"/>
          <w:numId w:val="2"/>
        </w:numPr>
        <w:spacing w:lineRule="auto" w:line="360" w:before="0" w:after="0"/>
        <w:ind w:firstLine="567" w:left="0" w:righ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отработки РЗ «Федеральные веб-сервисы РЭМД. Установка статусов» сотруднику с соответствующими полномочиями в подсистеме </w:t>
      </w:r>
      <w:r>
        <w:rPr>
          <w:rFonts w:eastAsia="Arial" w:cs="Times New Roman" w:ascii="Times New Roman" w:hAnsi="Times New Roman"/>
          <w:color w:val="auto"/>
          <w:sz w:val="28"/>
          <w:szCs w:val="28"/>
          <w:lang w:eastAsia="ru-RU" w:bidi="ar-SA"/>
        </w:rPr>
        <w:t>«</w:t>
      </w:r>
      <w:r>
        <w:rPr>
          <w:rFonts w:eastAsia="Arial" w:cs="Times New Roman" w:ascii="Times New Roman" w:hAnsi="Times New Roman"/>
          <w:bCs/>
          <w:color w:val="auto"/>
          <w:sz w:val="28"/>
          <w:szCs w:val="28"/>
          <w:lang w:eastAsia="ru-RU" w:bidi="ar-SA"/>
        </w:rPr>
        <w:t>Медицинская организация</w:t>
      </w:r>
      <w:r>
        <w:rPr>
          <w:rFonts w:eastAsia="Arial" w:cs="Times New Roman" w:ascii="Times New Roman" w:hAnsi="Times New Roman"/>
          <w:color w:val="auto"/>
          <w:sz w:val="28"/>
          <w:szCs w:val="28"/>
          <w:lang w:eastAsia="ru-RU" w:bidi="ar-SA"/>
        </w:rPr>
        <w:t>» открыть дополнительную обработку  «</w:t>
      </w:r>
      <w:r>
        <w:rPr>
          <w:rFonts w:eastAsia="Arial" w:cs="Times New Roman" w:ascii="Times New Roman" w:hAnsi="Times New Roman"/>
          <w:bCs/>
          <w:color w:val="auto"/>
          <w:sz w:val="28"/>
          <w:szCs w:val="28"/>
          <w:lang w:eastAsia="ru-RU" w:bidi="ar-SA"/>
        </w:rPr>
        <w:t>Массовое подписание МД</w:t>
      </w:r>
      <w:r>
        <w:rPr>
          <w:rFonts w:eastAsia="Arial" w:cs="Times New Roman" w:ascii="Times New Roman" w:hAnsi="Times New Roman"/>
          <w:color w:val="auto"/>
          <w:sz w:val="28"/>
          <w:szCs w:val="28"/>
          <w:lang w:eastAsia="ru-RU" w:bidi="ar-SA"/>
        </w:rPr>
        <w:t xml:space="preserve">» и подписать документ </w:t>
      </w:r>
      <w:r>
        <w:rPr>
          <w:rFonts w:ascii="Times New Roman" w:hAnsi="Times New Roman"/>
          <w:sz w:val="28"/>
          <w:szCs w:val="28"/>
        </w:rPr>
        <w:t>с помощью ЭЦП МО</w:t>
      </w:r>
      <w:r>
        <w:rPr>
          <w:rFonts w:eastAsia="Arial" w:cs="Times New Roman" w:ascii="Times New Roman" w:hAnsi="Times New Roman"/>
          <w:color w:val="auto"/>
          <w:sz w:val="28"/>
          <w:szCs w:val="28"/>
          <w:lang w:eastAsia="ru-RU" w:bidi="ar-SA"/>
        </w:rPr>
        <w:t xml:space="preserve">. </w:t>
      </w:r>
    </w:p>
    <w:p>
      <w:pPr>
        <w:pStyle w:val="Heading7"/>
        <w:numPr>
          <w:ilvl w:val="6"/>
          <w:numId w:val="2"/>
        </w:numPr>
        <w:spacing w:lineRule="auto" w:line="360" w:before="0" w:after="0"/>
        <w:ind w:firstLine="567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РЗ «Федеральные веб-сервисы РЭМД. Установка статусов» и «Отправка заявок на регистрацию документов в РЭМД» происходит отправка сформированного СЭМД </w:t>
      </w:r>
      <w:r>
        <w:rPr>
          <w:rFonts w:cs="Times New Roman" w:ascii="Times New Roman" w:hAnsi="Times New Roman"/>
          <w:sz w:val="28"/>
          <w:szCs w:val="28"/>
        </w:rPr>
        <w:t>«Экстренное извещение о случае острого отравления химической этиологии» в РЭМД.</w:t>
      </w:r>
    </w:p>
    <w:sectPr>
      <w:footerReference w:type="default" r:id="rId12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7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character" w:styleId="Strong">
    <w:name w:val="Strong"/>
    <w:basedOn w:val="DefaultParagraphFont"/>
    <w:uiPriority w:val="22"/>
    <w:qFormat/>
    <w:rsid w:val="00a420cc"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10D5F-1D3D-4AA6-B468-C43886A5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LibreOffice/7.6.4.1$Windows_X86_64 LibreOffice_project/e19e193f88cd6c0525a17fb7a176ed8e6a3e2aa1</Application>
  <AppVersion>15.0000</AppVersion>
  <Pages>7</Pages>
  <Words>523</Words>
  <Characters>3648</Characters>
  <CharactersWithSpaces>4158</CharactersWithSpaces>
  <Paragraphs>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2023-12-12T07:34:00Z</dcterms:created>
  <dc:creator>Вунш Оксана Сергеевна</dc:creator>
  <dc:description/>
  <dc:language>ru-RU</dc:language>
  <cp:lastModifiedBy>А  Половникова</cp:lastModifiedBy>
  <dcterms:modified xsi:type="dcterms:W3CDTF">2024-04-02T16:54:57Z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