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E7" w:rsidRPr="002656D6" w:rsidRDefault="002373E7" w:rsidP="002373E7">
      <w:pPr>
        <w:jc w:val="right"/>
        <w:rPr>
          <w:b/>
        </w:rPr>
      </w:pPr>
      <w:r w:rsidRPr="002656D6">
        <w:rPr>
          <w:b/>
        </w:rPr>
        <w:t>Приложение №1</w:t>
      </w:r>
    </w:p>
    <w:p w:rsidR="002373E7" w:rsidRPr="002656D6" w:rsidRDefault="002373E7" w:rsidP="002373E7">
      <w:pPr>
        <w:spacing w:line="360" w:lineRule="auto"/>
        <w:ind w:left="4860"/>
        <w:jc w:val="right"/>
      </w:pPr>
      <w:r w:rsidRPr="002656D6">
        <w:t xml:space="preserve"> к Контракту  № _____________</w:t>
      </w:r>
    </w:p>
    <w:p w:rsidR="002373E7" w:rsidRPr="002656D6" w:rsidRDefault="002373E7" w:rsidP="002373E7">
      <w:pPr>
        <w:spacing w:line="360" w:lineRule="auto"/>
        <w:ind w:left="4860"/>
        <w:jc w:val="right"/>
      </w:pPr>
      <w:r w:rsidRPr="002656D6">
        <w:t>от «_____» ___________201</w:t>
      </w:r>
      <w:r w:rsidR="00C1494E">
        <w:t>6</w:t>
      </w:r>
      <w:bookmarkStart w:id="0" w:name="_GoBack"/>
      <w:bookmarkEnd w:id="0"/>
      <w:r w:rsidRPr="002656D6">
        <w:t xml:space="preserve"> года</w:t>
      </w:r>
    </w:p>
    <w:p w:rsidR="002373E7" w:rsidRPr="002656D6" w:rsidRDefault="002373E7" w:rsidP="002373E7">
      <w:pPr>
        <w:spacing w:after="120"/>
        <w:jc w:val="right"/>
      </w:pPr>
    </w:p>
    <w:p w:rsidR="002373E7" w:rsidRDefault="002373E7" w:rsidP="002373E7">
      <w:pPr>
        <w:jc w:val="center"/>
        <w:rPr>
          <w:b/>
        </w:rPr>
      </w:pPr>
      <w:r w:rsidRPr="00EE5C60">
        <w:rPr>
          <w:b/>
        </w:rPr>
        <w:t xml:space="preserve">Описание объекта закупки </w:t>
      </w:r>
    </w:p>
    <w:p w:rsidR="002373E7" w:rsidRPr="00EE5C60" w:rsidRDefault="002373E7" w:rsidP="002373E7">
      <w:pPr>
        <w:jc w:val="center"/>
        <w:rPr>
          <w:b/>
        </w:rPr>
      </w:pPr>
      <w:r w:rsidRPr="00EE5C60">
        <w:rPr>
          <w:b/>
        </w:rPr>
        <w:t xml:space="preserve">на поставку комплектов аппаратно-программного навигационного </w:t>
      </w:r>
    </w:p>
    <w:p w:rsidR="002373E7" w:rsidRDefault="002373E7" w:rsidP="002373E7">
      <w:pPr>
        <w:jc w:val="center"/>
        <w:rPr>
          <w:b/>
        </w:rPr>
      </w:pPr>
      <w:r w:rsidRPr="00EE5C60">
        <w:rPr>
          <w:b/>
        </w:rPr>
        <w:t xml:space="preserve">комплекса </w:t>
      </w:r>
    </w:p>
    <w:p w:rsidR="002373E7" w:rsidRPr="0018262D" w:rsidRDefault="002373E7" w:rsidP="002373E7">
      <w:pPr>
        <w:numPr>
          <w:ilvl w:val="0"/>
          <w:numId w:val="2"/>
        </w:numPr>
        <w:suppressAutoHyphens/>
        <w:spacing w:after="160" w:line="252" w:lineRule="auto"/>
        <w:jc w:val="center"/>
        <w:rPr>
          <w:b/>
          <w:sz w:val="26"/>
          <w:szCs w:val="26"/>
        </w:rPr>
      </w:pPr>
      <w:r w:rsidRPr="0018262D">
        <w:rPr>
          <w:b/>
          <w:sz w:val="26"/>
          <w:szCs w:val="26"/>
        </w:rPr>
        <w:t>Термины</w:t>
      </w:r>
      <w:r w:rsidRPr="00954FF6">
        <w:rPr>
          <w:b/>
          <w:sz w:val="26"/>
          <w:szCs w:val="26"/>
        </w:rPr>
        <w:t xml:space="preserve">, </w:t>
      </w:r>
      <w:r w:rsidRPr="0018262D">
        <w:rPr>
          <w:b/>
          <w:sz w:val="26"/>
          <w:szCs w:val="26"/>
        </w:rPr>
        <w:t xml:space="preserve">определения, сокращения </w:t>
      </w:r>
    </w:p>
    <w:p w:rsidR="002373E7" w:rsidRPr="0018262D" w:rsidRDefault="002373E7" w:rsidP="002373E7">
      <w:pPr>
        <w:jc w:val="both"/>
        <w:rPr>
          <w:b/>
          <w:sz w:val="26"/>
          <w:szCs w:val="26"/>
        </w:rPr>
      </w:pPr>
      <w:r w:rsidRPr="0018262D">
        <w:rPr>
          <w:b/>
          <w:sz w:val="26"/>
          <w:szCs w:val="26"/>
        </w:rPr>
        <w:t>Аппаратно-программный навигационный комплекс</w:t>
      </w:r>
      <w:r w:rsidRPr="0018262D">
        <w:rPr>
          <w:sz w:val="26"/>
          <w:szCs w:val="26"/>
        </w:rPr>
        <w:t xml:space="preserve"> – совокупность аппаратных и программных систем, предназначенных для осуществления мониторинга подвижных объектов с целью автоматизации контроля их состояния и местоположения.</w:t>
      </w:r>
    </w:p>
    <w:p w:rsidR="002373E7" w:rsidRPr="0018262D" w:rsidRDefault="002373E7" w:rsidP="002373E7">
      <w:pPr>
        <w:jc w:val="both"/>
        <w:rPr>
          <w:b/>
          <w:sz w:val="26"/>
          <w:szCs w:val="26"/>
        </w:rPr>
      </w:pPr>
      <w:r w:rsidRPr="0018262D">
        <w:rPr>
          <w:b/>
          <w:sz w:val="26"/>
          <w:szCs w:val="26"/>
        </w:rPr>
        <w:t>Аппаратура спутниковой навигации ГЛОНАСС или ГЛОНАСС/GPS, Абонентский терминал</w:t>
      </w:r>
      <w:r w:rsidRPr="0018262D">
        <w:rPr>
          <w:sz w:val="26"/>
          <w:szCs w:val="26"/>
        </w:rPr>
        <w:t xml:space="preserve"> - оборудование, установленное на транспортном средстве, реализующее функции определения географических координат и параметров движения транспортного средства посредством использования технологии ГЛОНАСС или ГЛОНАСС/GPS, и передачу соответствующих данных по сетям подвижной радиотелефонной связи стандарта GSM.</w:t>
      </w:r>
    </w:p>
    <w:p w:rsidR="002373E7" w:rsidRPr="0018262D" w:rsidRDefault="002373E7" w:rsidP="002373E7">
      <w:pPr>
        <w:jc w:val="both"/>
        <w:rPr>
          <w:b/>
          <w:sz w:val="26"/>
          <w:szCs w:val="26"/>
        </w:rPr>
      </w:pPr>
      <w:r w:rsidRPr="0018262D">
        <w:rPr>
          <w:b/>
          <w:sz w:val="26"/>
          <w:szCs w:val="26"/>
        </w:rPr>
        <w:t>ГНСС</w:t>
      </w:r>
      <w:r w:rsidRPr="0018262D">
        <w:rPr>
          <w:sz w:val="26"/>
          <w:szCs w:val="26"/>
        </w:rPr>
        <w:t xml:space="preserve"> – глобальные навигационные спутниковые системы.</w:t>
      </w:r>
    </w:p>
    <w:p w:rsidR="002373E7" w:rsidRPr="0018262D" w:rsidRDefault="002373E7" w:rsidP="002373E7">
      <w:pPr>
        <w:jc w:val="both"/>
        <w:rPr>
          <w:b/>
          <w:bCs/>
          <w:sz w:val="26"/>
          <w:szCs w:val="26"/>
        </w:rPr>
      </w:pPr>
      <w:r w:rsidRPr="0018262D">
        <w:rPr>
          <w:b/>
          <w:sz w:val="26"/>
          <w:szCs w:val="26"/>
        </w:rPr>
        <w:t>ГЛОНАСС</w:t>
      </w:r>
      <w:r w:rsidRPr="0018262D">
        <w:rPr>
          <w:sz w:val="26"/>
          <w:szCs w:val="26"/>
        </w:rPr>
        <w:t xml:space="preserve"> – глобальная навигационная спутниковая система, предназначенная для оперативного навигационно-временного обеспечения неограниченного числа пользователей наземного, морского, воздушного и космического базирования.</w:t>
      </w:r>
    </w:p>
    <w:p w:rsidR="002373E7" w:rsidRPr="0018262D" w:rsidRDefault="002373E7" w:rsidP="002373E7">
      <w:pPr>
        <w:jc w:val="both"/>
        <w:rPr>
          <w:b/>
          <w:sz w:val="26"/>
          <w:szCs w:val="26"/>
        </w:rPr>
      </w:pPr>
      <w:r w:rsidRPr="0018262D">
        <w:rPr>
          <w:b/>
          <w:bCs/>
          <w:sz w:val="26"/>
          <w:szCs w:val="26"/>
        </w:rPr>
        <w:t>ГЛОНАСС/GPS</w:t>
      </w:r>
      <w:r w:rsidRPr="0018262D">
        <w:rPr>
          <w:sz w:val="26"/>
          <w:szCs w:val="26"/>
        </w:rPr>
        <w:t xml:space="preserve"> — комбинированный режим работы абонентского терминала при котором используются ГНСС ГЛОНАСС и ГНСС GPS.</w:t>
      </w:r>
    </w:p>
    <w:p w:rsidR="002373E7" w:rsidRPr="0018262D" w:rsidRDefault="002373E7" w:rsidP="002373E7">
      <w:pPr>
        <w:jc w:val="both"/>
        <w:rPr>
          <w:b/>
          <w:sz w:val="26"/>
          <w:szCs w:val="26"/>
        </w:rPr>
      </w:pPr>
      <w:r w:rsidRPr="0018262D">
        <w:rPr>
          <w:b/>
          <w:sz w:val="26"/>
          <w:szCs w:val="26"/>
          <w:lang w:val="en-US"/>
        </w:rPr>
        <w:t>GPS</w:t>
      </w:r>
      <w:r w:rsidRPr="0018262D">
        <w:rPr>
          <w:sz w:val="26"/>
          <w:szCs w:val="26"/>
        </w:rPr>
        <w:t xml:space="preserve"> - спутниковая система навигации, обеспечивающая измерение расстояния, времени и определяющая местоположение.</w:t>
      </w:r>
    </w:p>
    <w:p w:rsidR="002373E7" w:rsidRPr="0018262D" w:rsidRDefault="002373E7" w:rsidP="002373E7">
      <w:pPr>
        <w:jc w:val="both"/>
        <w:rPr>
          <w:b/>
          <w:sz w:val="26"/>
          <w:szCs w:val="26"/>
        </w:rPr>
      </w:pPr>
      <w:r w:rsidRPr="0018262D">
        <w:rPr>
          <w:b/>
          <w:sz w:val="26"/>
          <w:szCs w:val="26"/>
        </w:rPr>
        <w:t>RS232</w:t>
      </w:r>
      <w:r w:rsidRPr="0018262D">
        <w:rPr>
          <w:sz w:val="26"/>
          <w:szCs w:val="26"/>
        </w:rPr>
        <w:t xml:space="preserve"> (</w:t>
      </w:r>
      <w:proofErr w:type="spellStart"/>
      <w:r w:rsidRPr="0018262D">
        <w:rPr>
          <w:sz w:val="26"/>
          <w:szCs w:val="26"/>
        </w:rPr>
        <w:t>Recommended</w:t>
      </w:r>
      <w:proofErr w:type="spellEnd"/>
      <w:r w:rsidRPr="0018262D">
        <w:rPr>
          <w:sz w:val="26"/>
          <w:szCs w:val="26"/>
        </w:rPr>
        <w:t xml:space="preserve"> </w:t>
      </w:r>
      <w:proofErr w:type="spellStart"/>
      <w:r w:rsidRPr="0018262D">
        <w:rPr>
          <w:sz w:val="26"/>
          <w:szCs w:val="26"/>
        </w:rPr>
        <w:t>Standard</w:t>
      </w:r>
      <w:proofErr w:type="spellEnd"/>
      <w:r w:rsidRPr="0018262D">
        <w:rPr>
          <w:sz w:val="26"/>
          <w:szCs w:val="26"/>
        </w:rPr>
        <w:t xml:space="preserve"> 232) – физический уровень для асинхронного интерфейса.</w:t>
      </w:r>
    </w:p>
    <w:p w:rsidR="002373E7" w:rsidRPr="0018262D" w:rsidRDefault="002373E7" w:rsidP="002373E7">
      <w:pPr>
        <w:jc w:val="both"/>
        <w:rPr>
          <w:b/>
          <w:sz w:val="26"/>
          <w:szCs w:val="26"/>
        </w:rPr>
      </w:pPr>
      <w:r w:rsidRPr="0018262D">
        <w:rPr>
          <w:b/>
          <w:sz w:val="26"/>
          <w:szCs w:val="26"/>
        </w:rPr>
        <w:t>RS485</w:t>
      </w:r>
      <w:r w:rsidRPr="0018262D">
        <w:rPr>
          <w:sz w:val="26"/>
          <w:szCs w:val="26"/>
        </w:rPr>
        <w:t xml:space="preserve"> (</w:t>
      </w:r>
      <w:proofErr w:type="spellStart"/>
      <w:r w:rsidRPr="0018262D">
        <w:rPr>
          <w:sz w:val="26"/>
          <w:szCs w:val="26"/>
        </w:rPr>
        <w:t>Recommended</w:t>
      </w:r>
      <w:proofErr w:type="spellEnd"/>
      <w:r w:rsidRPr="0018262D">
        <w:rPr>
          <w:sz w:val="26"/>
          <w:szCs w:val="26"/>
        </w:rPr>
        <w:t xml:space="preserve"> </w:t>
      </w:r>
      <w:proofErr w:type="spellStart"/>
      <w:r w:rsidRPr="0018262D">
        <w:rPr>
          <w:sz w:val="26"/>
          <w:szCs w:val="26"/>
        </w:rPr>
        <w:t>Standard</w:t>
      </w:r>
      <w:proofErr w:type="spellEnd"/>
      <w:r w:rsidRPr="0018262D">
        <w:rPr>
          <w:sz w:val="26"/>
          <w:szCs w:val="26"/>
        </w:rPr>
        <w:t xml:space="preserve"> 485) – стандарт физического уровня для асинхронного интерфейса.</w:t>
      </w:r>
    </w:p>
    <w:p w:rsidR="002373E7" w:rsidRPr="0018262D" w:rsidRDefault="002373E7" w:rsidP="002373E7">
      <w:pPr>
        <w:jc w:val="both"/>
        <w:rPr>
          <w:b/>
          <w:sz w:val="26"/>
          <w:szCs w:val="26"/>
        </w:rPr>
      </w:pPr>
      <w:r w:rsidRPr="0018262D">
        <w:rPr>
          <w:b/>
          <w:sz w:val="26"/>
          <w:szCs w:val="26"/>
        </w:rPr>
        <w:t>CAN</w:t>
      </w:r>
      <w:r w:rsidRPr="0018262D">
        <w:rPr>
          <w:sz w:val="26"/>
          <w:szCs w:val="26"/>
        </w:rPr>
        <w:t xml:space="preserve"> (</w:t>
      </w:r>
      <w:proofErr w:type="spellStart"/>
      <w:r w:rsidRPr="0018262D">
        <w:rPr>
          <w:sz w:val="26"/>
          <w:szCs w:val="26"/>
        </w:rPr>
        <w:t>Controller</w:t>
      </w:r>
      <w:proofErr w:type="spellEnd"/>
      <w:r w:rsidRPr="0018262D">
        <w:rPr>
          <w:sz w:val="26"/>
          <w:szCs w:val="26"/>
        </w:rPr>
        <w:t xml:space="preserve"> </w:t>
      </w:r>
      <w:proofErr w:type="spellStart"/>
      <w:r w:rsidRPr="0018262D">
        <w:rPr>
          <w:sz w:val="26"/>
          <w:szCs w:val="26"/>
        </w:rPr>
        <w:t>Area</w:t>
      </w:r>
      <w:proofErr w:type="spellEnd"/>
      <w:r w:rsidRPr="0018262D">
        <w:rPr>
          <w:sz w:val="26"/>
          <w:szCs w:val="26"/>
        </w:rPr>
        <w:t xml:space="preserve"> </w:t>
      </w:r>
      <w:proofErr w:type="spellStart"/>
      <w:r w:rsidRPr="0018262D">
        <w:rPr>
          <w:sz w:val="26"/>
          <w:szCs w:val="26"/>
        </w:rPr>
        <w:t>Network</w:t>
      </w:r>
      <w:proofErr w:type="spellEnd"/>
      <w:r w:rsidRPr="0018262D">
        <w:rPr>
          <w:sz w:val="26"/>
          <w:szCs w:val="26"/>
        </w:rPr>
        <w:t>) – стандарт промышленной сети, ориентированный на объединение в единую сеть различных исполнительных устройств и датчиков.</w:t>
      </w:r>
    </w:p>
    <w:p w:rsidR="002373E7" w:rsidRPr="0018262D" w:rsidRDefault="002373E7" w:rsidP="002373E7">
      <w:pPr>
        <w:jc w:val="both"/>
        <w:rPr>
          <w:b/>
          <w:sz w:val="26"/>
          <w:szCs w:val="26"/>
        </w:rPr>
      </w:pPr>
      <w:r w:rsidRPr="0018262D">
        <w:rPr>
          <w:b/>
          <w:sz w:val="26"/>
          <w:szCs w:val="26"/>
          <w:lang w:val="en-US"/>
        </w:rPr>
        <w:t>GSM</w:t>
      </w:r>
      <w:r w:rsidRPr="0018262D">
        <w:rPr>
          <w:sz w:val="26"/>
          <w:szCs w:val="26"/>
        </w:rPr>
        <w:t xml:space="preserve"> – глобальный стандарт цифровой мобильной сотовой связи, с разделением каналов по времени (TDMA) и частоте (FDMA).</w:t>
      </w:r>
    </w:p>
    <w:p w:rsidR="002373E7" w:rsidRPr="00BE4200" w:rsidRDefault="002373E7" w:rsidP="002373E7">
      <w:pPr>
        <w:jc w:val="both"/>
        <w:rPr>
          <w:sz w:val="26"/>
          <w:szCs w:val="26"/>
        </w:rPr>
      </w:pPr>
      <w:r w:rsidRPr="0018262D">
        <w:rPr>
          <w:b/>
          <w:sz w:val="26"/>
          <w:szCs w:val="26"/>
        </w:rPr>
        <w:t>ТС</w:t>
      </w:r>
      <w:r w:rsidRPr="0018262D">
        <w:rPr>
          <w:sz w:val="26"/>
          <w:szCs w:val="26"/>
        </w:rPr>
        <w:t xml:space="preserve"> – транспортное средство</w:t>
      </w:r>
    </w:p>
    <w:p w:rsidR="002373E7" w:rsidRPr="0018262D" w:rsidRDefault="002373E7" w:rsidP="002373E7">
      <w:pPr>
        <w:pStyle w:val="a3"/>
        <w:numPr>
          <w:ilvl w:val="0"/>
          <w:numId w:val="2"/>
        </w:numPr>
        <w:tabs>
          <w:tab w:val="left" w:pos="1080"/>
        </w:tabs>
        <w:suppressAutoHyphens/>
        <w:spacing w:after="160"/>
        <w:contextualSpacing w:val="0"/>
        <w:jc w:val="center"/>
        <w:rPr>
          <w:b/>
          <w:spacing w:val="-1"/>
          <w:sz w:val="26"/>
          <w:szCs w:val="26"/>
        </w:rPr>
      </w:pPr>
      <w:r w:rsidRPr="0018262D">
        <w:rPr>
          <w:b/>
          <w:spacing w:val="-1"/>
          <w:sz w:val="26"/>
          <w:szCs w:val="26"/>
        </w:rPr>
        <w:t>Требования законодательства РФ</w:t>
      </w:r>
    </w:p>
    <w:p w:rsidR="002373E7" w:rsidRPr="0018262D" w:rsidRDefault="002373E7" w:rsidP="002373E7">
      <w:pPr>
        <w:pStyle w:val="a3"/>
        <w:numPr>
          <w:ilvl w:val="0"/>
          <w:numId w:val="1"/>
        </w:numPr>
        <w:tabs>
          <w:tab w:val="left" w:pos="1068"/>
        </w:tabs>
        <w:suppressAutoHyphens/>
        <w:spacing w:after="160"/>
        <w:contextualSpacing w:val="0"/>
        <w:jc w:val="both"/>
        <w:rPr>
          <w:sz w:val="26"/>
          <w:szCs w:val="26"/>
        </w:rPr>
      </w:pPr>
      <w:r w:rsidRPr="0018262D">
        <w:rPr>
          <w:sz w:val="26"/>
          <w:szCs w:val="26"/>
        </w:rPr>
        <w:t xml:space="preserve">Федеральным законом Российской Федерации от 14.02.2009г. № 22-ФЗ </w:t>
      </w:r>
      <w:r w:rsidRPr="0018262D">
        <w:rPr>
          <w:i/>
          <w:sz w:val="26"/>
          <w:szCs w:val="26"/>
        </w:rPr>
        <w:t>«О навигационной деятельности»</w:t>
      </w:r>
      <w:r w:rsidRPr="0018262D">
        <w:rPr>
          <w:sz w:val="26"/>
          <w:szCs w:val="26"/>
        </w:rPr>
        <w:t>.</w:t>
      </w:r>
    </w:p>
    <w:p w:rsidR="002373E7" w:rsidRPr="0018262D" w:rsidRDefault="002373E7" w:rsidP="002373E7">
      <w:pPr>
        <w:pStyle w:val="a3"/>
        <w:numPr>
          <w:ilvl w:val="0"/>
          <w:numId w:val="1"/>
        </w:numPr>
        <w:suppressAutoHyphens/>
        <w:spacing w:after="160"/>
        <w:contextualSpacing w:val="0"/>
        <w:jc w:val="both"/>
        <w:rPr>
          <w:sz w:val="26"/>
          <w:szCs w:val="26"/>
        </w:rPr>
      </w:pPr>
      <w:r w:rsidRPr="0018262D">
        <w:rPr>
          <w:sz w:val="26"/>
          <w:szCs w:val="26"/>
        </w:rPr>
        <w:t xml:space="preserve">Указом Президента Российской Федерации от 17.05.2007г. №638 </w:t>
      </w:r>
      <w:r w:rsidRPr="0018262D">
        <w:rPr>
          <w:i/>
          <w:sz w:val="26"/>
          <w:szCs w:val="26"/>
        </w:rPr>
        <w:t>«Об использовании глобальной навигационной спутниковой системы ГЛОНАСС в интересах социально-экономического развития Российской Федерации»</w:t>
      </w:r>
      <w:r w:rsidRPr="0018262D">
        <w:rPr>
          <w:sz w:val="26"/>
          <w:szCs w:val="26"/>
        </w:rPr>
        <w:t>.</w:t>
      </w:r>
    </w:p>
    <w:p w:rsidR="002373E7" w:rsidRPr="0018262D" w:rsidRDefault="002373E7" w:rsidP="002373E7">
      <w:pPr>
        <w:pStyle w:val="a3"/>
        <w:numPr>
          <w:ilvl w:val="0"/>
          <w:numId w:val="1"/>
        </w:numPr>
        <w:suppressAutoHyphens/>
        <w:spacing w:after="160"/>
        <w:contextualSpacing w:val="0"/>
        <w:jc w:val="both"/>
        <w:rPr>
          <w:sz w:val="26"/>
          <w:szCs w:val="26"/>
        </w:rPr>
      </w:pPr>
      <w:r w:rsidRPr="0018262D">
        <w:rPr>
          <w:sz w:val="26"/>
          <w:szCs w:val="26"/>
        </w:rPr>
        <w:t xml:space="preserve">Постановлением Правительства Российской Федерации от 25.08.2008г. №641 </w:t>
      </w:r>
      <w:r w:rsidRPr="0018262D">
        <w:rPr>
          <w:i/>
          <w:sz w:val="26"/>
          <w:szCs w:val="26"/>
        </w:rPr>
        <w:t>«Об оснащении транспортных, технических средств и систем аппаратурой спутниковой навигации ГЛОНАСС или ГЛОНАСС/GPS»</w:t>
      </w:r>
      <w:r w:rsidRPr="0018262D">
        <w:rPr>
          <w:sz w:val="26"/>
          <w:szCs w:val="26"/>
        </w:rPr>
        <w:t>.</w:t>
      </w:r>
    </w:p>
    <w:p w:rsidR="002373E7" w:rsidRPr="0018262D" w:rsidRDefault="002373E7" w:rsidP="002373E7">
      <w:pPr>
        <w:pStyle w:val="a3"/>
        <w:numPr>
          <w:ilvl w:val="0"/>
          <w:numId w:val="1"/>
        </w:numPr>
        <w:suppressAutoHyphens/>
        <w:spacing w:after="160"/>
        <w:contextualSpacing w:val="0"/>
        <w:jc w:val="both"/>
        <w:rPr>
          <w:sz w:val="26"/>
          <w:szCs w:val="26"/>
        </w:rPr>
      </w:pPr>
      <w:r w:rsidRPr="0018262D">
        <w:rPr>
          <w:sz w:val="26"/>
          <w:szCs w:val="26"/>
        </w:rPr>
        <w:t xml:space="preserve">Приказ Министерства транспорта Российской Федерации от 09.03.2010г. №55 </w:t>
      </w:r>
      <w:r w:rsidRPr="0018262D">
        <w:rPr>
          <w:i/>
          <w:sz w:val="26"/>
          <w:szCs w:val="26"/>
        </w:rPr>
        <w:t>«Об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w:t>
      </w:r>
      <w:r w:rsidRPr="0018262D">
        <w:rPr>
          <w:i/>
          <w:sz w:val="26"/>
          <w:szCs w:val="26"/>
          <w:lang w:val="en-US"/>
        </w:rPr>
        <w:t>GPS</w:t>
      </w:r>
      <w:r w:rsidRPr="0018262D">
        <w:rPr>
          <w:i/>
          <w:sz w:val="26"/>
          <w:szCs w:val="26"/>
        </w:rPr>
        <w:t>»</w:t>
      </w:r>
      <w:r w:rsidRPr="0018262D">
        <w:rPr>
          <w:sz w:val="26"/>
          <w:szCs w:val="26"/>
        </w:rPr>
        <w:t xml:space="preserve">. </w:t>
      </w:r>
    </w:p>
    <w:p w:rsidR="002373E7" w:rsidRPr="0018262D" w:rsidRDefault="002373E7" w:rsidP="002373E7">
      <w:pPr>
        <w:pStyle w:val="a3"/>
        <w:numPr>
          <w:ilvl w:val="0"/>
          <w:numId w:val="1"/>
        </w:numPr>
        <w:suppressAutoHyphens/>
        <w:spacing w:after="160"/>
        <w:contextualSpacing w:val="0"/>
        <w:jc w:val="both"/>
        <w:rPr>
          <w:rFonts w:eastAsia="Symbol"/>
          <w:sz w:val="26"/>
          <w:szCs w:val="26"/>
        </w:rPr>
      </w:pPr>
      <w:r w:rsidRPr="0018262D">
        <w:rPr>
          <w:sz w:val="26"/>
          <w:szCs w:val="26"/>
        </w:rPr>
        <w:lastRenderedPageBreak/>
        <w:t xml:space="preserve">Приказ Минтранса РФ о 31.07.2012 №285 </w:t>
      </w:r>
      <w:r w:rsidRPr="0018262D">
        <w:rPr>
          <w:i/>
          <w:sz w:val="26"/>
          <w:szCs w:val="26"/>
        </w:rPr>
        <w:t>«Об утверждении требований к средствам навигации, функционирующим с использованием навигационных сигналов системы ГЛОНАСС или ГЛОНАСС/</w:t>
      </w:r>
      <w:r w:rsidRPr="0018262D">
        <w:rPr>
          <w:i/>
          <w:sz w:val="26"/>
          <w:szCs w:val="26"/>
          <w:lang w:val="en-US"/>
        </w:rPr>
        <w:t>GPS</w:t>
      </w:r>
      <w:r w:rsidRPr="0018262D">
        <w:rPr>
          <w:i/>
          <w:sz w:val="26"/>
          <w:szCs w:val="26"/>
        </w:rPr>
        <w:t xml:space="preserve"> и предназначенным для обязательного оснащения транспортных средств категории М, используемых для коммерческих перевозок пассажиров, и категории </w:t>
      </w:r>
      <w:r w:rsidRPr="0018262D">
        <w:rPr>
          <w:i/>
          <w:sz w:val="26"/>
          <w:szCs w:val="26"/>
          <w:lang w:val="en-US"/>
        </w:rPr>
        <w:t>N</w:t>
      </w:r>
      <w:r w:rsidRPr="0018262D">
        <w:rPr>
          <w:i/>
          <w:sz w:val="26"/>
          <w:szCs w:val="26"/>
        </w:rPr>
        <w:t>, используемых для перевозки опасных грузов».</w:t>
      </w:r>
    </w:p>
    <w:p w:rsidR="002373E7" w:rsidRPr="0018262D" w:rsidRDefault="002373E7" w:rsidP="002373E7">
      <w:pPr>
        <w:pStyle w:val="a3"/>
        <w:numPr>
          <w:ilvl w:val="0"/>
          <w:numId w:val="1"/>
        </w:numPr>
        <w:suppressAutoHyphens/>
        <w:spacing w:after="160"/>
        <w:contextualSpacing w:val="0"/>
        <w:jc w:val="both"/>
        <w:rPr>
          <w:rFonts w:eastAsia="Symbol"/>
          <w:sz w:val="26"/>
          <w:szCs w:val="26"/>
        </w:rPr>
      </w:pPr>
      <w:r w:rsidRPr="0018262D">
        <w:rPr>
          <w:rFonts w:eastAsia="Symbol"/>
          <w:sz w:val="26"/>
          <w:szCs w:val="26"/>
        </w:rPr>
        <w:t xml:space="preserve">Распоряжением Правительства Тюменской области от 30.12.2010 № 2128-рп </w:t>
      </w:r>
      <w:r w:rsidRPr="0018262D">
        <w:rPr>
          <w:rFonts w:eastAsia="Symbol"/>
          <w:i/>
          <w:sz w:val="26"/>
          <w:szCs w:val="26"/>
        </w:rPr>
        <w:t>«Об утверждении региональной целевой программы «Использование технологии ГЛОНАСС и других результатов космической деятельности в интересах социально-экономического и инновационного развития Тюменской области» на 2011-2013 годы»</w:t>
      </w:r>
      <w:r w:rsidRPr="0018262D">
        <w:rPr>
          <w:rFonts w:eastAsia="Symbol"/>
          <w:sz w:val="26"/>
          <w:szCs w:val="26"/>
        </w:rPr>
        <w:t>.</w:t>
      </w:r>
    </w:p>
    <w:p w:rsidR="002373E7" w:rsidRPr="002373E7" w:rsidRDefault="00C1494E" w:rsidP="002373E7">
      <w:pPr>
        <w:pStyle w:val="1"/>
        <w:numPr>
          <w:ilvl w:val="0"/>
          <w:numId w:val="1"/>
        </w:numPr>
        <w:jc w:val="left"/>
        <w:rPr>
          <w:rFonts w:ascii="Times New Roman" w:hAnsi="Times New Roman" w:cs="Times New Roman"/>
          <w:color w:val="auto"/>
          <w:sz w:val="26"/>
          <w:szCs w:val="26"/>
        </w:rPr>
      </w:pPr>
      <w:hyperlink r:id="rId5" w:history="1">
        <w:r w:rsidR="002373E7" w:rsidRPr="002373E7">
          <w:rPr>
            <w:rStyle w:val="a4"/>
            <w:rFonts w:ascii="Times New Roman" w:hAnsi="Times New Roman"/>
            <w:b w:val="0"/>
            <w:bCs w:val="0"/>
            <w:color w:val="auto"/>
            <w:sz w:val="26"/>
            <w:szCs w:val="26"/>
          </w:rPr>
          <w:t>Постановление Правительства Тюменской области от 22 июля 2013 г. N 285-п</w:t>
        </w:r>
        <w:r w:rsidR="002373E7" w:rsidRPr="002373E7">
          <w:rPr>
            <w:rStyle w:val="a4"/>
            <w:rFonts w:ascii="Times New Roman" w:hAnsi="Times New Roman"/>
            <w:b w:val="0"/>
            <w:bCs w:val="0"/>
            <w:color w:val="auto"/>
            <w:sz w:val="26"/>
            <w:szCs w:val="26"/>
          </w:rPr>
          <w:br/>
          <w:t>"Об утверждении Положения о региональной навигационно-информационной системе Тюменской области"</w:t>
        </w:r>
      </w:hyperlink>
    </w:p>
    <w:p w:rsidR="002373E7" w:rsidRPr="0018262D" w:rsidRDefault="002373E7" w:rsidP="002373E7">
      <w:pPr>
        <w:pStyle w:val="a3"/>
        <w:numPr>
          <w:ilvl w:val="0"/>
          <w:numId w:val="2"/>
        </w:numPr>
        <w:suppressAutoHyphens/>
        <w:spacing w:after="160"/>
        <w:contextualSpacing w:val="0"/>
        <w:jc w:val="center"/>
        <w:rPr>
          <w:b/>
          <w:sz w:val="26"/>
          <w:szCs w:val="26"/>
        </w:rPr>
      </w:pPr>
      <w:r w:rsidRPr="0018262D">
        <w:rPr>
          <w:b/>
          <w:sz w:val="26"/>
          <w:szCs w:val="26"/>
        </w:rPr>
        <w:t>Требования к качеству товара</w:t>
      </w:r>
    </w:p>
    <w:p w:rsidR="002373E7" w:rsidRPr="0018262D" w:rsidRDefault="002373E7" w:rsidP="002373E7">
      <w:pPr>
        <w:ind w:firstLine="567"/>
        <w:jc w:val="both"/>
        <w:rPr>
          <w:sz w:val="26"/>
          <w:szCs w:val="26"/>
        </w:rPr>
      </w:pPr>
      <w:r w:rsidRPr="0018262D">
        <w:rPr>
          <w:sz w:val="26"/>
          <w:szCs w:val="26"/>
        </w:rPr>
        <w:t>Комплект аппаратно-программного навигационного комплекса должен соответствовать требованиям законодательства Российской Федерации в п.2 настоящего Описания объекта закупки.</w:t>
      </w:r>
    </w:p>
    <w:p w:rsidR="002373E7" w:rsidRPr="0018262D" w:rsidRDefault="002373E7" w:rsidP="002373E7">
      <w:pPr>
        <w:ind w:firstLine="567"/>
        <w:jc w:val="both"/>
        <w:rPr>
          <w:sz w:val="26"/>
          <w:szCs w:val="26"/>
        </w:rPr>
      </w:pPr>
      <w:r w:rsidRPr="0018262D">
        <w:rPr>
          <w:sz w:val="26"/>
          <w:szCs w:val="26"/>
        </w:rPr>
        <w:t>Комплект аппаратно-программного навигационного комплекса должен быть технически исправен, без дефектов и повреждений, не подвергавшийся ремонту, готов к эксплуатации.</w:t>
      </w:r>
    </w:p>
    <w:p w:rsidR="002373E7" w:rsidRPr="0018262D" w:rsidRDefault="002373E7" w:rsidP="002373E7">
      <w:pPr>
        <w:ind w:firstLine="567"/>
        <w:jc w:val="both"/>
        <w:rPr>
          <w:sz w:val="26"/>
          <w:szCs w:val="26"/>
        </w:rPr>
      </w:pPr>
    </w:p>
    <w:p w:rsidR="002373E7" w:rsidRPr="0018262D" w:rsidRDefault="002373E7" w:rsidP="002373E7">
      <w:pPr>
        <w:pStyle w:val="a3"/>
        <w:numPr>
          <w:ilvl w:val="0"/>
          <w:numId w:val="2"/>
        </w:numPr>
        <w:suppressAutoHyphens/>
        <w:spacing w:after="160"/>
        <w:contextualSpacing w:val="0"/>
        <w:jc w:val="center"/>
        <w:rPr>
          <w:b/>
          <w:sz w:val="26"/>
          <w:szCs w:val="26"/>
        </w:rPr>
      </w:pPr>
      <w:r w:rsidRPr="0018262D">
        <w:rPr>
          <w:b/>
          <w:sz w:val="26"/>
          <w:szCs w:val="26"/>
        </w:rPr>
        <w:t>Требования к гарантии на товар</w:t>
      </w:r>
    </w:p>
    <w:p w:rsidR="002373E7" w:rsidRPr="00634362" w:rsidRDefault="002373E7" w:rsidP="002373E7">
      <w:pPr>
        <w:ind w:firstLine="708"/>
        <w:jc w:val="both"/>
        <w:rPr>
          <w:sz w:val="26"/>
          <w:szCs w:val="26"/>
        </w:rPr>
      </w:pPr>
      <w:r w:rsidRPr="00634362">
        <w:rPr>
          <w:sz w:val="26"/>
          <w:szCs w:val="26"/>
        </w:rPr>
        <w:t xml:space="preserve">Гарантийный срок на </w:t>
      </w:r>
      <w:r w:rsidRPr="0018262D">
        <w:rPr>
          <w:sz w:val="26"/>
          <w:szCs w:val="26"/>
        </w:rPr>
        <w:t xml:space="preserve">Комплект аппаратно-программного навигационного комплекса </w:t>
      </w:r>
      <w:r w:rsidRPr="00634362">
        <w:rPr>
          <w:sz w:val="26"/>
          <w:szCs w:val="26"/>
        </w:rPr>
        <w:t>составляет 24 месяца с момента подписания Акта исполнения Контракта. Гарантия распространяется на все составляющие части товаров (комплектующие изделия).</w:t>
      </w:r>
    </w:p>
    <w:p w:rsidR="002373E7" w:rsidRPr="00634362" w:rsidRDefault="002373E7" w:rsidP="002373E7">
      <w:pPr>
        <w:ind w:firstLine="708"/>
        <w:jc w:val="both"/>
        <w:rPr>
          <w:sz w:val="26"/>
          <w:szCs w:val="26"/>
        </w:rPr>
      </w:pPr>
      <w:r w:rsidRPr="00634362">
        <w:rPr>
          <w:sz w:val="26"/>
          <w:szCs w:val="26"/>
        </w:rPr>
        <w:t xml:space="preserve">Гарантийный срок на комплектующие товара и составные части считается равным гарантийному сроку на основной товар и истекает не раньше истечения гарантийного срока на этот товар. </w:t>
      </w:r>
    </w:p>
    <w:p w:rsidR="002373E7" w:rsidRPr="0018262D" w:rsidRDefault="002373E7" w:rsidP="002373E7">
      <w:pPr>
        <w:ind w:firstLine="708"/>
        <w:jc w:val="both"/>
        <w:rPr>
          <w:sz w:val="26"/>
          <w:szCs w:val="26"/>
          <w:highlight w:val="yellow"/>
        </w:rPr>
      </w:pPr>
    </w:p>
    <w:p w:rsidR="002373E7" w:rsidRPr="0018262D" w:rsidRDefault="002373E7" w:rsidP="002373E7">
      <w:pPr>
        <w:pStyle w:val="a3"/>
        <w:numPr>
          <w:ilvl w:val="0"/>
          <w:numId w:val="2"/>
        </w:numPr>
        <w:suppressAutoHyphens/>
        <w:spacing w:after="160"/>
        <w:contextualSpacing w:val="0"/>
        <w:jc w:val="center"/>
        <w:rPr>
          <w:b/>
          <w:sz w:val="26"/>
          <w:szCs w:val="26"/>
        </w:rPr>
      </w:pPr>
      <w:r w:rsidRPr="0018262D">
        <w:rPr>
          <w:b/>
          <w:sz w:val="26"/>
          <w:szCs w:val="26"/>
        </w:rPr>
        <w:t>Объем поставки.</w:t>
      </w:r>
    </w:p>
    <w:p w:rsidR="002373E7" w:rsidRPr="0018262D" w:rsidRDefault="002373E7" w:rsidP="002373E7">
      <w:pPr>
        <w:ind w:firstLine="708"/>
        <w:jc w:val="both"/>
        <w:rPr>
          <w:sz w:val="26"/>
          <w:szCs w:val="26"/>
        </w:rPr>
      </w:pPr>
      <w:r w:rsidRPr="0018262D">
        <w:rPr>
          <w:sz w:val="26"/>
          <w:szCs w:val="26"/>
        </w:rPr>
        <w:t>Общее количество Комплект</w:t>
      </w:r>
      <w:r>
        <w:rPr>
          <w:sz w:val="26"/>
          <w:szCs w:val="26"/>
        </w:rPr>
        <w:t>ов</w:t>
      </w:r>
      <w:r w:rsidRPr="0018262D">
        <w:rPr>
          <w:sz w:val="26"/>
          <w:szCs w:val="26"/>
        </w:rPr>
        <w:t xml:space="preserve"> аппаратно-программного навигационного компл</w:t>
      </w:r>
      <w:r>
        <w:rPr>
          <w:sz w:val="26"/>
          <w:szCs w:val="26"/>
        </w:rPr>
        <w:t>екса к поставке составляет __ шт</w:t>
      </w:r>
      <w:r w:rsidRPr="0018262D">
        <w:rPr>
          <w:sz w:val="26"/>
          <w:szCs w:val="26"/>
        </w:rPr>
        <w:t>.</w:t>
      </w:r>
    </w:p>
    <w:p w:rsidR="002373E7" w:rsidRPr="0018262D" w:rsidRDefault="002373E7" w:rsidP="002373E7">
      <w:pPr>
        <w:pStyle w:val="a3"/>
        <w:numPr>
          <w:ilvl w:val="0"/>
          <w:numId w:val="2"/>
        </w:numPr>
        <w:suppressAutoHyphens/>
        <w:spacing w:after="160"/>
        <w:contextualSpacing w:val="0"/>
        <w:jc w:val="center"/>
        <w:rPr>
          <w:b/>
          <w:sz w:val="26"/>
          <w:szCs w:val="26"/>
        </w:rPr>
      </w:pPr>
      <w:r w:rsidRPr="0018262D">
        <w:rPr>
          <w:b/>
          <w:sz w:val="26"/>
          <w:szCs w:val="26"/>
        </w:rPr>
        <w:t>Место поставки.</w:t>
      </w:r>
    </w:p>
    <w:p w:rsidR="002373E7" w:rsidRPr="0018262D" w:rsidRDefault="002373E7" w:rsidP="002373E7">
      <w:pPr>
        <w:pStyle w:val="a3"/>
        <w:rPr>
          <w:sz w:val="26"/>
          <w:szCs w:val="26"/>
        </w:rPr>
      </w:pPr>
      <w:r w:rsidRPr="0018262D">
        <w:rPr>
          <w:sz w:val="26"/>
          <w:szCs w:val="26"/>
        </w:rPr>
        <w:t xml:space="preserve">Адрес поставки: </w:t>
      </w:r>
      <w:r>
        <w:rPr>
          <w:sz w:val="26"/>
          <w:szCs w:val="26"/>
        </w:rPr>
        <w:t>_________________________</w:t>
      </w:r>
    </w:p>
    <w:p w:rsidR="002373E7" w:rsidRPr="0018262D" w:rsidRDefault="002373E7" w:rsidP="002373E7">
      <w:pPr>
        <w:pStyle w:val="a3"/>
        <w:numPr>
          <w:ilvl w:val="0"/>
          <w:numId w:val="2"/>
        </w:numPr>
        <w:suppressAutoHyphens/>
        <w:spacing w:after="160"/>
        <w:contextualSpacing w:val="0"/>
        <w:jc w:val="center"/>
        <w:rPr>
          <w:b/>
          <w:sz w:val="26"/>
          <w:szCs w:val="26"/>
        </w:rPr>
      </w:pPr>
      <w:r w:rsidRPr="0018262D">
        <w:rPr>
          <w:b/>
          <w:sz w:val="26"/>
          <w:szCs w:val="26"/>
        </w:rPr>
        <w:t>Срок поставки.</w:t>
      </w:r>
    </w:p>
    <w:p w:rsidR="002373E7" w:rsidRPr="002373E7" w:rsidRDefault="002373E7" w:rsidP="002373E7">
      <w:pPr>
        <w:ind w:firstLine="708"/>
        <w:jc w:val="both"/>
        <w:rPr>
          <w:sz w:val="26"/>
          <w:szCs w:val="26"/>
        </w:rPr>
        <w:sectPr w:rsidR="002373E7" w:rsidRPr="002373E7" w:rsidSect="00A572CC">
          <w:pgSz w:w="11906" w:h="16838"/>
          <w:pgMar w:top="1134" w:right="567" w:bottom="1134" w:left="851" w:header="709" w:footer="709" w:gutter="0"/>
          <w:cols w:space="708"/>
          <w:docGrid w:linePitch="360"/>
        </w:sectPr>
      </w:pPr>
      <w:r>
        <w:rPr>
          <w:sz w:val="26"/>
          <w:szCs w:val="26"/>
        </w:rPr>
        <w:t>__</w:t>
      </w:r>
      <w:r w:rsidRPr="0018262D">
        <w:rPr>
          <w:sz w:val="26"/>
          <w:szCs w:val="26"/>
        </w:rPr>
        <w:t xml:space="preserve"> </w:t>
      </w:r>
      <w:r>
        <w:rPr>
          <w:sz w:val="26"/>
          <w:szCs w:val="26"/>
        </w:rPr>
        <w:t>шт</w:t>
      </w:r>
      <w:r w:rsidRPr="0018262D">
        <w:rPr>
          <w:sz w:val="26"/>
          <w:szCs w:val="26"/>
        </w:rPr>
        <w:t>. Комплект</w:t>
      </w:r>
      <w:r>
        <w:rPr>
          <w:sz w:val="26"/>
          <w:szCs w:val="26"/>
        </w:rPr>
        <w:t>ов</w:t>
      </w:r>
      <w:r w:rsidRPr="0018262D">
        <w:rPr>
          <w:sz w:val="26"/>
          <w:szCs w:val="26"/>
        </w:rPr>
        <w:t xml:space="preserve"> аппаратно-программного нави</w:t>
      </w:r>
      <w:r>
        <w:rPr>
          <w:sz w:val="26"/>
          <w:szCs w:val="26"/>
        </w:rPr>
        <w:t xml:space="preserve">гационного комплекса в течение __ (______) </w:t>
      </w:r>
      <w:r w:rsidRPr="0018262D">
        <w:rPr>
          <w:sz w:val="26"/>
          <w:szCs w:val="26"/>
        </w:rPr>
        <w:t>рабочих дней с момента з</w:t>
      </w:r>
      <w:r>
        <w:rPr>
          <w:sz w:val="26"/>
          <w:szCs w:val="26"/>
        </w:rPr>
        <w:t>аключения настоящего Контракта.</w:t>
      </w:r>
    </w:p>
    <w:p w:rsidR="002373E7" w:rsidRPr="00C056E3" w:rsidRDefault="002373E7" w:rsidP="002373E7">
      <w:pPr>
        <w:rPr>
          <w:b/>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843"/>
        <w:gridCol w:w="3260"/>
        <w:gridCol w:w="709"/>
        <w:gridCol w:w="1701"/>
        <w:gridCol w:w="851"/>
        <w:gridCol w:w="4819"/>
      </w:tblGrid>
      <w:tr w:rsidR="002373E7" w:rsidRPr="00C056E3" w:rsidTr="00E94473">
        <w:trPr>
          <w:trHeight w:val="431"/>
        </w:trPr>
        <w:tc>
          <w:tcPr>
            <w:tcW w:w="534" w:type="dxa"/>
          </w:tcPr>
          <w:p w:rsidR="002373E7" w:rsidRPr="00C056E3" w:rsidRDefault="002373E7" w:rsidP="00E94473">
            <w:pPr>
              <w:jc w:val="center"/>
              <w:rPr>
                <w:sz w:val="22"/>
                <w:szCs w:val="22"/>
              </w:rPr>
            </w:pPr>
            <w:r w:rsidRPr="00C056E3">
              <w:rPr>
                <w:b/>
                <w:sz w:val="22"/>
                <w:szCs w:val="22"/>
              </w:rPr>
              <w:t>№ п/п</w:t>
            </w:r>
          </w:p>
        </w:tc>
        <w:tc>
          <w:tcPr>
            <w:tcW w:w="7087" w:type="dxa"/>
            <w:gridSpan w:val="4"/>
          </w:tcPr>
          <w:p w:rsidR="002373E7" w:rsidRPr="00C056E3" w:rsidRDefault="002373E7" w:rsidP="00E94473">
            <w:pPr>
              <w:jc w:val="center"/>
              <w:rPr>
                <w:b/>
              </w:rPr>
            </w:pPr>
            <w:r w:rsidRPr="00C056E3">
              <w:rPr>
                <w:b/>
              </w:rPr>
              <w:t xml:space="preserve">Описание объекта закупки  </w:t>
            </w:r>
          </w:p>
          <w:p w:rsidR="002373E7" w:rsidRPr="00C056E3" w:rsidRDefault="002373E7" w:rsidP="00E94473">
            <w:pPr>
              <w:jc w:val="center"/>
              <w:rPr>
                <w:sz w:val="16"/>
                <w:szCs w:val="16"/>
              </w:rPr>
            </w:pPr>
            <w:r w:rsidRPr="00C056E3">
              <w:rPr>
                <w:i/>
                <w:sz w:val="16"/>
                <w:szCs w:val="16"/>
              </w:rPr>
              <w:t>*указываются показатели, позволяющие определить соответствие закупаемых товаров потребностям заказчика (максимальные и (или) минимальные значения показателей, а также значения показателей, которые не могут изменяться)</w:t>
            </w:r>
          </w:p>
        </w:tc>
        <w:tc>
          <w:tcPr>
            <w:tcW w:w="7371" w:type="dxa"/>
            <w:gridSpan w:val="3"/>
          </w:tcPr>
          <w:p w:rsidR="002373E7" w:rsidRPr="00C056E3" w:rsidRDefault="002373E7" w:rsidP="00E94473">
            <w:pPr>
              <w:jc w:val="center"/>
              <w:rPr>
                <w:b/>
                <w:sz w:val="22"/>
                <w:szCs w:val="22"/>
              </w:rPr>
            </w:pPr>
            <w:r w:rsidRPr="00C056E3">
              <w:rPr>
                <w:b/>
                <w:sz w:val="22"/>
                <w:szCs w:val="22"/>
              </w:rPr>
              <w:t>Предложение участника закупки</w:t>
            </w:r>
          </w:p>
          <w:p w:rsidR="002373E7" w:rsidRPr="00C056E3" w:rsidRDefault="002373E7" w:rsidP="00E94473">
            <w:pPr>
              <w:jc w:val="center"/>
              <w:rPr>
                <w:b/>
                <w:i/>
                <w:strike/>
                <w:sz w:val="18"/>
                <w:szCs w:val="18"/>
              </w:rPr>
            </w:pPr>
            <w:r w:rsidRPr="00C056E3">
              <w:rPr>
                <w:i/>
                <w:sz w:val="18"/>
                <w:szCs w:val="18"/>
              </w:rPr>
              <w:t xml:space="preserve">Заполняется участником закупки в соответствии с </w:t>
            </w:r>
            <w:r w:rsidRPr="00C056E3">
              <w:rPr>
                <w:i/>
                <w:iCs/>
                <w:sz w:val="18"/>
                <w:szCs w:val="18"/>
              </w:rPr>
              <w:t>Инструкцией по заполнению первой части заявки на участие в электронном аукционе (Раздел 3.2.2. Главы 3 Документации об электронном аукционе)</w:t>
            </w:r>
          </w:p>
        </w:tc>
      </w:tr>
      <w:tr w:rsidR="002373E7" w:rsidRPr="00C40B16" w:rsidTr="002373E7">
        <w:trPr>
          <w:trHeight w:val="2107"/>
        </w:trPr>
        <w:tc>
          <w:tcPr>
            <w:tcW w:w="534" w:type="dxa"/>
          </w:tcPr>
          <w:p w:rsidR="002373E7" w:rsidRPr="00C056E3" w:rsidRDefault="002373E7" w:rsidP="00E94473">
            <w:pPr>
              <w:jc w:val="both"/>
              <w:rPr>
                <w:sz w:val="16"/>
                <w:szCs w:val="16"/>
              </w:rPr>
            </w:pPr>
          </w:p>
        </w:tc>
        <w:tc>
          <w:tcPr>
            <w:tcW w:w="1275" w:type="dxa"/>
          </w:tcPr>
          <w:p w:rsidR="002373E7" w:rsidRPr="007F31F5" w:rsidRDefault="002373E7" w:rsidP="00E94473">
            <w:pPr>
              <w:jc w:val="center"/>
              <w:rPr>
                <w:b/>
                <w:sz w:val="20"/>
                <w:szCs w:val="20"/>
              </w:rPr>
            </w:pPr>
            <w:r w:rsidRPr="007F31F5">
              <w:rPr>
                <w:b/>
                <w:sz w:val="20"/>
                <w:szCs w:val="20"/>
              </w:rPr>
              <w:t>Наименование объекта закупки (товара)</w:t>
            </w:r>
          </w:p>
          <w:p w:rsidR="002373E7" w:rsidRPr="007F31F5" w:rsidRDefault="002373E7" w:rsidP="00E94473">
            <w:pPr>
              <w:jc w:val="center"/>
              <w:rPr>
                <w:b/>
                <w:sz w:val="20"/>
                <w:szCs w:val="20"/>
              </w:rPr>
            </w:pPr>
          </w:p>
        </w:tc>
        <w:tc>
          <w:tcPr>
            <w:tcW w:w="1843" w:type="dxa"/>
          </w:tcPr>
          <w:p w:rsidR="002373E7" w:rsidRPr="007F31F5" w:rsidRDefault="002373E7" w:rsidP="00E94473">
            <w:pPr>
              <w:jc w:val="center"/>
              <w:rPr>
                <w:b/>
                <w:sz w:val="20"/>
                <w:szCs w:val="20"/>
              </w:rPr>
            </w:pPr>
            <w:r w:rsidRPr="007F31F5">
              <w:rPr>
                <w:b/>
                <w:sz w:val="20"/>
                <w:szCs w:val="20"/>
              </w:rPr>
              <w:t>Функциональные, технические, качественные характеристики объекта закупки</w:t>
            </w:r>
          </w:p>
          <w:p w:rsidR="002373E7" w:rsidRPr="007F31F5" w:rsidRDefault="002373E7" w:rsidP="00E94473">
            <w:pPr>
              <w:jc w:val="center"/>
              <w:rPr>
                <w:b/>
                <w:sz w:val="20"/>
                <w:szCs w:val="20"/>
              </w:rPr>
            </w:pPr>
            <w:r w:rsidRPr="007F31F5">
              <w:rPr>
                <w:b/>
                <w:sz w:val="20"/>
                <w:szCs w:val="20"/>
              </w:rPr>
              <w:t>(товара), единицы измерения</w:t>
            </w:r>
          </w:p>
        </w:tc>
        <w:tc>
          <w:tcPr>
            <w:tcW w:w="3260" w:type="dxa"/>
          </w:tcPr>
          <w:p w:rsidR="002373E7" w:rsidRPr="007F31F5" w:rsidRDefault="002373E7" w:rsidP="00E94473">
            <w:pPr>
              <w:jc w:val="center"/>
              <w:rPr>
                <w:b/>
                <w:sz w:val="20"/>
                <w:szCs w:val="20"/>
              </w:rPr>
            </w:pPr>
            <w:r w:rsidRPr="007F31F5">
              <w:rPr>
                <w:b/>
                <w:sz w:val="20"/>
                <w:szCs w:val="20"/>
              </w:rPr>
              <w:t xml:space="preserve">Эксплуатационные характеристики </w:t>
            </w:r>
          </w:p>
          <w:p w:rsidR="002373E7" w:rsidRPr="007F31F5" w:rsidRDefault="002373E7" w:rsidP="00E94473">
            <w:pPr>
              <w:jc w:val="center"/>
              <w:rPr>
                <w:b/>
                <w:sz w:val="20"/>
                <w:szCs w:val="20"/>
              </w:rPr>
            </w:pPr>
            <w:r w:rsidRPr="007F31F5">
              <w:rPr>
                <w:b/>
                <w:sz w:val="20"/>
                <w:szCs w:val="20"/>
              </w:rPr>
              <w:t>(при необходимости)</w:t>
            </w:r>
          </w:p>
          <w:p w:rsidR="002373E7" w:rsidRPr="007F31F5" w:rsidRDefault="002373E7" w:rsidP="00E94473">
            <w:pPr>
              <w:rPr>
                <w:b/>
                <w:sz w:val="20"/>
                <w:szCs w:val="20"/>
              </w:rPr>
            </w:pPr>
          </w:p>
        </w:tc>
        <w:tc>
          <w:tcPr>
            <w:tcW w:w="709" w:type="dxa"/>
          </w:tcPr>
          <w:p w:rsidR="002373E7" w:rsidRPr="007F31F5" w:rsidRDefault="002373E7" w:rsidP="00E94473">
            <w:pPr>
              <w:jc w:val="both"/>
              <w:rPr>
                <w:b/>
                <w:sz w:val="20"/>
                <w:szCs w:val="20"/>
              </w:rPr>
            </w:pPr>
            <w:r w:rsidRPr="007F31F5">
              <w:rPr>
                <w:b/>
                <w:sz w:val="20"/>
                <w:szCs w:val="20"/>
              </w:rPr>
              <w:t xml:space="preserve">Количество </w:t>
            </w:r>
          </w:p>
          <w:p w:rsidR="002373E7" w:rsidRPr="007F31F5" w:rsidRDefault="002373E7" w:rsidP="00E94473">
            <w:pPr>
              <w:rPr>
                <w:b/>
                <w:sz w:val="20"/>
                <w:szCs w:val="20"/>
              </w:rPr>
            </w:pPr>
          </w:p>
        </w:tc>
        <w:tc>
          <w:tcPr>
            <w:tcW w:w="1701" w:type="dxa"/>
          </w:tcPr>
          <w:p w:rsidR="002373E7" w:rsidRPr="002373E7" w:rsidRDefault="002373E7" w:rsidP="00E94473">
            <w:pPr>
              <w:autoSpaceDE w:val="0"/>
              <w:autoSpaceDN w:val="0"/>
              <w:adjustRightInd w:val="0"/>
              <w:rPr>
                <w:rFonts w:eastAsia="Calibri"/>
                <w:b/>
                <w:sz w:val="18"/>
                <w:szCs w:val="20"/>
                <w:lang w:eastAsia="en-US"/>
              </w:rPr>
            </w:pPr>
            <w:r w:rsidRPr="007F31F5">
              <w:rPr>
                <w:rFonts w:eastAsia="Calibri"/>
                <w:b/>
                <w:sz w:val="18"/>
                <w:szCs w:val="20"/>
                <w:lang w:eastAsia="en-US"/>
              </w:rP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851" w:type="dxa"/>
          </w:tcPr>
          <w:p w:rsidR="002373E7" w:rsidRPr="007F31F5" w:rsidRDefault="002373E7" w:rsidP="00E94473">
            <w:pPr>
              <w:autoSpaceDE w:val="0"/>
              <w:autoSpaceDN w:val="0"/>
              <w:adjustRightInd w:val="0"/>
              <w:rPr>
                <w:b/>
                <w:i/>
                <w:sz w:val="20"/>
                <w:szCs w:val="20"/>
              </w:rPr>
            </w:pPr>
            <w:r w:rsidRPr="007F31F5">
              <w:rPr>
                <w:rFonts w:eastAsia="Calibri"/>
                <w:b/>
                <w:sz w:val="20"/>
                <w:szCs w:val="20"/>
                <w:lang w:eastAsia="en-US"/>
              </w:rPr>
              <w:t>Наименование страны происхождения товара</w:t>
            </w:r>
            <w:r w:rsidRPr="007F31F5">
              <w:rPr>
                <w:rFonts w:eastAsia="Calibri"/>
                <w:b/>
                <w:strike/>
                <w:sz w:val="20"/>
                <w:szCs w:val="20"/>
                <w:lang w:eastAsia="en-US"/>
              </w:rPr>
              <w:t xml:space="preserve"> </w:t>
            </w:r>
          </w:p>
        </w:tc>
        <w:tc>
          <w:tcPr>
            <w:tcW w:w="4819" w:type="dxa"/>
          </w:tcPr>
          <w:p w:rsidR="002373E7" w:rsidRPr="007F31F5" w:rsidRDefault="002373E7" w:rsidP="00E94473">
            <w:pPr>
              <w:rPr>
                <w:b/>
                <w:bCs/>
                <w:sz w:val="20"/>
                <w:szCs w:val="20"/>
              </w:rPr>
            </w:pPr>
            <w:r w:rsidRPr="007F31F5">
              <w:rPr>
                <w:b/>
                <w:sz w:val="20"/>
                <w:szCs w:val="20"/>
              </w:rPr>
              <w:t>Функциональные, технические, качественные характеристики объекта закупки (товара). Эксплуатационные характеристики (при необходимости), единицы измерения</w:t>
            </w:r>
          </w:p>
          <w:p w:rsidR="002373E7" w:rsidRPr="007F31F5" w:rsidRDefault="002373E7" w:rsidP="00E94473">
            <w:pPr>
              <w:jc w:val="both"/>
              <w:rPr>
                <w:b/>
                <w:sz w:val="20"/>
                <w:szCs w:val="20"/>
              </w:rPr>
            </w:pPr>
          </w:p>
        </w:tc>
      </w:tr>
      <w:tr w:rsidR="002373E7" w:rsidRPr="00C40B16" w:rsidTr="00E94473">
        <w:trPr>
          <w:trHeight w:val="5228"/>
        </w:trPr>
        <w:tc>
          <w:tcPr>
            <w:tcW w:w="534" w:type="dxa"/>
            <w:vMerge w:val="restart"/>
          </w:tcPr>
          <w:p w:rsidR="002373E7" w:rsidRPr="00C40B16" w:rsidRDefault="002373E7" w:rsidP="00E94473">
            <w:pPr>
              <w:jc w:val="both"/>
              <w:rPr>
                <w:sz w:val="16"/>
                <w:szCs w:val="16"/>
              </w:rPr>
            </w:pPr>
            <w:r>
              <w:rPr>
                <w:sz w:val="16"/>
                <w:szCs w:val="16"/>
              </w:rPr>
              <w:lastRenderedPageBreak/>
              <w:t>1</w:t>
            </w:r>
          </w:p>
        </w:tc>
        <w:tc>
          <w:tcPr>
            <w:tcW w:w="1275" w:type="dxa"/>
            <w:vMerge w:val="restart"/>
          </w:tcPr>
          <w:p w:rsidR="002373E7" w:rsidRPr="00C40B16" w:rsidRDefault="002373E7" w:rsidP="00E94473">
            <w:pPr>
              <w:jc w:val="center"/>
              <w:rPr>
                <w:b/>
              </w:rPr>
            </w:pPr>
            <w:r w:rsidRPr="006161C3">
              <w:t>Комплект аппаратно-программного навигационного комплекса</w:t>
            </w:r>
          </w:p>
        </w:tc>
        <w:tc>
          <w:tcPr>
            <w:tcW w:w="5103" w:type="dxa"/>
            <w:gridSpan w:val="2"/>
          </w:tcPr>
          <w:p w:rsidR="002373E7" w:rsidRPr="007F31F5" w:rsidRDefault="002373E7" w:rsidP="00E94473">
            <w:pPr>
              <w:ind w:right="113"/>
              <w:jc w:val="both"/>
              <w:rPr>
                <w:b/>
                <w:sz w:val="20"/>
              </w:rPr>
            </w:pPr>
            <w:r w:rsidRPr="007F31F5">
              <w:rPr>
                <w:b/>
                <w:sz w:val="20"/>
              </w:rPr>
              <w:t>Минимальные и (или) максимальные показатели:</w:t>
            </w:r>
          </w:p>
          <w:p w:rsidR="002373E7" w:rsidRDefault="002373E7" w:rsidP="00E94473">
            <w:pPr>
              <w:pStyle w:val="a3"/>
              <w:suppressAutoHyphens/>
              <w:ind w:left="0"/>
              <w:contextualSpacing w:val="0"/>
              <w:rPr>
                <w:sz w:val="20"/>
                <w:szCs w:val="20"/>
              </w:rPr>
            </w:pPr>
            <w:r>
              <w:rPr>
                <w:sz w:val="20"/>
                <w:szCs w:val="20"/>
              </w:rPr>
              <w:t>1.</w:t>
            </w:r>
            <w:r w:rsidRPr="00DB2A6D">
              <w:rPr>
                <w:sz w:val="20"/>
                <w:szCs w:val="20"/>
              </w:rPr>
              <w:t>Абонентский терминал должен иметь возможность установки не менее 2 (двух) SIM карт.</w:t>
            </w:r>
          </w:p>
          <w:p w:rsidR="002373E7" w:rsidRPr="007F31F5"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sidRPr="00DB2A6D">
              <w:rPr>
                <w:sz w:val="20"/>
                <w:szCs w:val="20"/>
              </w:rPr>
              <w:t xml:space="preserve">2. Абонентский терминал обеспечивает первое определение текущего местоположения при "холодном" старте (включение устройства после отключения питания, либо разряда батареи) за время, не </w:t>
            </w:r>
            <w:r>
              <w:rPr>
                <w:sz w:val="20"/>
                <w:szCs w:val="20"/>
              </w:rPr>
              <w:t>более</w:t>
            </w:r>
            <w:r w:rsidRPr="00DB2A6D">
              <w:rPr>
                <w:sz w:val="20"/>
                <w:szCs w:val="20"/>
              </w:rPr>
              <w:t xml:space="preserve"> 45 с</w:t>
            </w:r>
          </w:p>
          <w:p w:rsidR="002373E7"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sidRPr="00DB2A6D">
              <w:rPr>
                <w:sz w:val="20"/>
                <w:szCs w:val="20"/>
              </w:rPr>
              <w:t>3. Абонентский терминал имеет объем внутренней энергонезависимой памяти, обеспечивающий запись не менее 20 000 для транспортных средств категории N, используемые для перевозки опасных грузов и не менее 150 000 для транспортных средств категории M, используемые для перевозки пассажиров,</w:t>
            </w:r>
            <w:r w:rsidRPr="00DB2A6D">
              <w:rPr>
                <w:rStyle w:val="11"/>
                <w:sz w:val="20"/>
                <w:szCs w:val="20"/>
              </w:rPr>
              <w:t xml:space="preserve"> </w:t>
            </w:r>
            <w:r w:rsidRPr="00DB2A6D">
              <w:rPr>
                <w:sz w:val="20"/>
                <w:szCs w:val="20"/>
              </w:rPr>
              <w:t>последовательно зарегистрированных событий. Сохранение событий во внутренней энергонезависимой памяти осуществляется автоматически при отсутствии возможности передачи информации по сетям подвижной радиотелефонной связи. Выгрузка содержимого энергонезависимой памяти осуществляется автоматически при восстановлении возможности передачи информации по сетям подвижной радиотелефонной связи</w:t>
            </w:r>
          </w:p>
          <w:p w:rsidR="002373E7"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sidRPr="00DB2A6D">
              <w:rPr>
                <w:sz w:val="20"/>
                <w:szCs w:val="20"/>
              </w:rPr>
              <w:t>4. </w:t>
            </w:r>
            <w:r w:rsidRPr="00A22D29">
              <w:rPr>
                <w:sz w:val="20"/>
                <w:szCs w:val="20"/>
              </w:rPr>
              <w:t xml:space="preserve">Абонентский терминал </w:t>
            </w:r>
            <w:r w:rsidRPr="00DB2A6D">
              <w:rPr>
                <w:sz w:val="20"/>
                <w:szCs w:val="20"/>
              </w:rPr>
              <w:t>имеет не менее 4 входных линий</w:t>
            </w:r>
            <w:r w:rsidRPr="00DB2A6D">
              <w:rPr>
                <w:iCs/>
                <w:color w:val="000000"/>
                <w:sz w:val="20"/>
                <w:szCs w:val="20"/>
              </w:rPr>
              <w:t xml:space="preserve">  </w:t>
            </w:r>
            <w:r w:rsidRPr="00DB2A6D">
              <w:rPr>
                <w:sz w:val="20"/>
                <w:szCs w:val="20"/>
              </w:rPr>
              <w:t>и не менее 4 выходных линий  или не менее 8 универсальных входов выходов.</w:t>
            </w:r>
          </w:p>
          <w:p w:rsidR="002373E7" w:rsidRPr="00DB2A6D"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r w:rsidRPr="00DB2A6D">
              <w:rPr>
                <w:sz w:val="20"/>
                <w:szCs w:val="20"/>
              </w:rPr>
              <w:t>5. Система электропитания абонентского терминала удовлетворяет следующим требованиям:</w:t>
            </w:r>
          </w:p>
          <w:p w:rsidR="002373E7" w:rsidRPr="00DB2A6D" w:rsidRDefault="002373E7" w:rsidP="002373E7">
            <w:pPr>
              <w:pStyle w:val="a3"/>
              <w:numPr>
                <w:ilvl w:val="0"/>
                <w:numId w:val="5"/>
              </w:numPr>
              <w:suppressAutoHyphens/>
              <w:contextualSpacing w:val="0"/>
              <w:rPr>
                <w:sz w:val="20"/>
                <w:szCs w:val="20"/>
              </w:rPr>
            </w:pPr>
            <w:r w:rsidRPr="00DB2A6D">
              <w:rPr>
                <w:sz w:val="20"/>
                <w:szCs w:val="20"/>
              </w:rPr>
              <w:t>Потребление, не более 13,5 Вт;</w:t>
            </w:r>
          </w:p>
          <w:p w:rsidR="002373E7" w:rsidRPr="00DB2A6D" w:rsidRDefault="002373E7" w:rsidP="002373E7">
            <w:pPr>
              <w:pStyle w:val="a3"/>
              <w:numPr>
                <w:ilvl w:val="0"/>
                <w:numId w:val="5"/>
              </w:numPr>
              <w:suppressAutoHyphens/>
              <w:contextualSpacing w:val="0"/>
              <w:rPr>
                <w:sz w:val="20"/>
                <w:szCs w:val="20"/>
              </w:rPr>
            </w:pPr>
            <w:r w:rsidRPr="00DB2A6D">
              <w:rPr>
                <w:sz w:val="20"/>
                <w:szCs w:val="20"/>
              </w:rPr>
              <w:t>Обеспечение электропитания от дополнительной аккумуляторной батареи при отключении бортового питания в течение не менее 1 часа с момента отключения бортового питания;</w:t>
            </w:r>
          </w:p>
          <w:p w:rsidR="002373E7" w:rsidRDefault="002373E7" w:rsidP="002373E7">
            <w:pPr>
              <w:pStyle w:val="a3"/>
              <w:numPr>
                <w:ilvl w:val="0"/>
                <w:numId w:val="5"/>
              </w:numPr>
              <w:suppressAutoHyphens/>
              <w:contextualSpacing w:val="0"/>
              <w:rPr>
                <w:sz w:val="20"/>
                <w:szCs w:val="20"/>
              </w:rPr>
            </w:pPr>
            <w:r w:rsidRPr="00DB2A6D">
              <w:rPr>
                <w:sz w:val="20"/>
                <w:szCs w:val="20"/>
              </w:rPr>
              <w:t>Время работы прибора от аккумулятора не менее 6 часов.</w:t>
            </w:r>
          </w:p>
          <w:p w:rsidR="002373E7" w:rsidRPr="00DB2A6D"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0"/>
              <w:contextualSpacing w:val="0"/>
              <w:rPr>
                <w:sz w:val="20"/>
                <w:szCs w:val="20"/>
              </w:rPr>
            </w:pPr>
            <w:r w:rsidRPr="00DB2A6D">
              <w:rPr>
                <w:sz w:val="20"/>
                <w:szCs w:val="20"/>
              </w:rPr>
              <w:t>6. Система вычислительных модулей удовлетворяет требованиям:</w:t>
            </w:r>
          </w:p>
          <w:p w:rsidR="002373E7" w:rsidRPr="00DB2A6D" w:rsidRDefault="002373E7" w:rsidP="002373E7">
            <w:pPr>
              <w:pStyle w:val="a3"/>
              <w:numPr>
                <w:ilvl w:val="0"/>
                <w:numId w:val="8"/>
              </w:numPr>
              <w:suppressAutoHyphens/>
              <w:contextualSpacing w:val="0"/>
              <w:rPr>
                <w:sz w:val="20"/>
                <w:szCs w:val="20"/>
              </w:rPr>
            </w:pPr>
            <w:r w:rsidRPr="00DB2A6D">
              <w:rPr>
                <w:sz w:val="20"/>
                <w:szCs w:val="20"/>
              </w:rPr>
              <w:t>Разрядность, не менее 32 Бит;</w:t>
            </w:r>
          </w:p>
          <w:p w:rsidR="002373E7" w:rsidRPr="00DB2A6D" w:rsidRDefault="002373E7" w:rsidP="002373E7">
            <w:pPr>
              <w:pStyle w:val="a3"/>
              <w:numPr>
                <w:ilvl w:val="0"/>
                <w:numId w:val="8"/>
              </w:numPr>
              <w:suppressAutoHyphens/>
              <w:contextualSpacing w:val="0"/>
              <w:rPr>
                <w:sz w:val="20"/>
                <w:szCs w:val="20"/>
              </w:rPr>
            </w:pPr>
            <w:r w:rsidRPr="00DB2A6D">
              <w:rPr>
                <w:sz w:val="20"/>
                <w:szCs w:val="20"/>
              </w:rPr>
              <w:t>Оперативная память, не менее 32 Кбайт;</w:t>
            </w:r>
          </w:p>
          <w:p w:rsidR="002373E7" w:rsidRPr="00DB2A6D" w:rsidRDefault="002373E7" w:rsidP="002373E7">
            <w:pPr>
              <w:pStyle w:val="a3"/>
              <w:numPr>
                <w:ilvl w:val="0"/>
                <w:numId w:val="8"/>
              </w:numPr>
              <w:suppressAutoHyphens/>
              <w:contextualSpacing w:val="0"/>
              <w:rPr>
                <w:sz w:val="20"/>
                <w:szCs w:val="20"/>
              </w:rPr>
            </w:pPr>
            <w:r w:rsidRPr="00DB2A6D">
              <w:rPr>
                <w:sz w:val="20"/>
                <w:szCs w:val="20"/>
              </w:rPr>
              <w:t xml:space="preserve">Объем памяти </w:t>
            </w:r>
            <w:proofErr w:type="spellStart"/>
            <w:r w:rsidRPr="00DB2A6D">
              <w:rPr>
                <w:sz w:val="20"/>
                <w:szCs w:val="20"/>
              </w:rPr>
              <w:t>Flash</w:t>
            </w:r>
            <w:proofErr w:type="spellEnd"/>
            <w:r w:rsidRPr="00DB2A6D">
              <w:rPr>
                <w:sz w:val="20"/>
                <w:szCs w:val="20"/>
              </w:rPr>
              <w:t>, не менее 16 Мбайт;</w:t>
            </w:r>
          </w:p>
          <w:p w:rsidR="002373E7" w:rsidRDefault="002373E7" w:rsidP="002373E7">
            <w:pPr>
              <w:pStyle w:val="a3"/>
              <w:numPr>
                <w:ilvl w:val="0"/>
                <w:numId w:val="8"/>
              </w:numPr>
              <w:suppressAutoHyphens/>
              <w:contextualSpacing w:val="0"/>
              <w:rPr>
                <w:sz w:val="20"/>
                <w:szCs w:val="20"/>
              </w:rPr>
            </w:pPr>
            <w:r>
              <w:rPr>
                <w:sz w:val="20"/>
                <w:szCs w:val="20"/>
              </w:rPr>
              <w:t>Объем, не менее 32 Гбайт.</w:t>
            </w:r>
          </w:p>
          <w:p w:rsidR="002373E7" w:rsidRPr="00DB2A6D"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0"/>
              <w:contextualSpacing w:val="0"/>
              <w:rPr>
                <w:sz w:val="20"/>
                <w:szCs w:val="20"/>
              </w:rPr>
            </w:pPr>
            <w:r w:rsidRPr="00DB2A6D">
              <w:rPr>
                <w:sz w:val="20"/>
                <w:szCs w:val="20"/>
              </w:rPr>
              <w:t>7. Система навигационного модуля удовлетворяет требованиям:</w:t>
            </w:r>
          </w:p>
          <w:p w:rsidR="002373E7" w:rsidRPr="00DB2A6D" w:rsidRDefault="002373E7" w:rsidP="002373E7">
            <w:pPr>
              <w:pStyle w:val="a3"/>
              <w:numPr>
                <w:ilvl w:val="0"/>
                <w:numId w:val="9"/>
              </w:numPr>
              <w:suppressAutoHyphens/>
              <w:contextualSpacing w:val="0"/>
              <w:rPr>
                <w:sz w:val="20"/>
                <w:szCs w:val="20"/>
              </w:rPr>
            </w:pPr>
            <w:r w:rsidRPr="00DB2A6D">
              <w:rPr>
                <w:sz w:val="20"/>
                <w:szCs w:val="20"/>
              </w:rPr>
              <w:t>Погрешность координат, не более 5 м;</w:t>
            </w:r>
          </w:p>
          <w:p w:rsidR="002373E7" w:rsidRPr="00DB2A6D" w:rsidRDefault="002373E7" w:rsidP="002373E7">
            <w:pPr>
              <w:pStyle w:val="a3"/>
              <w:numPr>
                <w:ilvl w:val="0"/>
                <w:numId w:val="9"/>
              </w:numPr>
              <w:suppressAutoHyphens/>
              <w:contextualSpacing w:val="0"/>
              <w:rPr>
                <w:sz w:val="20"/>
                <w:szCs w:val="20"/>
              </w:rPr>
            </w:pPr>
            <w:r w:rsidRPr="00DB2A6D">
              <w:rPr>
                <w:sz w:val="20"/>
                <w:szCs w:val="20"/>
              </w:rPr>
              <w:t xml:space="preserve">Погрешность времени, не более 50 </w:t>
            </w:r>
            <w:proofErr w:type="spellStart"/>
            <w:r w:rsidRPr="00DB2A6D">
              <w:rPr>
                <w:sz w:val="20"/>
                <w:szCs w:val="20"/>
              </w:rPr>
              <w:t>нс</w:t>
            </w:r>
            <w:proofErr w:type="spellEnd"/>
            <w:r w:rsidRPr="00DB2A6D">
              <w:rPr>
                <w:sz w:val="20"/>
                <w:szCs w:val="20"/>
              </w:rPr>
              <w:t>;</w:t>
            </w:r>
          </w:p>
          <w:p w:rsidR="002373E7" w:rsidRPr="00DB2A6D" w:rsidRDefault="002373E7" w:rsidP="002373E7">
            <w:pPr>
              <w:pStyle w:val="a3"/>
              <w:numPr>
                <w:ilvl w:val="0"/>
                <w:numId w:val="9"/>
              </w:numPr>
              <w:suppressAutoHyphens/>
              <w:contextualSpacing w:val="0"/>
              <w:rPr>
                <w:sz w:val="20"/>
                <w:szCs w:val="20"/>
              </w:rPr>
            </w:pPr>
            <w:r w:rsidRPr="00DB2A6D">
              <w:rPr>
                <w:sz w:val="20"/>
                <w:szCs w:val="20"/>
              </w:rPr>
              <w:t xml:space="preserve">Среднее время холодного старта, не более 45с; </w:t>
            </w:r>
          </w:p>
          <w:p w:rsidR="002373E7" w:rsidRPr="00DB2A6D" w:rsidRDefault="002373E7" w:rsidP="002373E7">
            <w:pPr>
              <w:pStyle w:val="a3"/>
              <w:numPr>
                <w:ilvl w:val="0"/>
                <w:numId w:val="9"/>
              </w:numPr>
              <w:suppressAutoHyphens/>
              <w:contextualSpacing w:val="0"/>
              <w:rPr>
                <w:sz w:val="20"/>
                <w:szCs w:val="20"/>
              </w:rPr>
            </w:pPr>
            <w:r w:rsidRPr="00DB2A6D">
              <w:rPr>
                <w:sz w:val="20"/>
                <w:szCs w:val="20"/>
              </w:rPr>
              <w:t xml:space="preserve">Среднее время горячего старта, не более 5с; </w:t>
            </w:r>
          </w:p>
          <w:p w:rsidR="002373E7" w:rsidRDefault="002373E7" w:rsidP="002373E7">
            <w:pPr>
              <w:pStyle w:val="a3"/>
              <w:numPr>
                <w:ilvl w:val="0"/>
                <w:numId w:val="9"/>
              </w:numPr>
              <w:suppressAutoHyphens/>
              <w:contextualSpacing w:val="0"/>
              <w:rPr>
                <w:sz w:val="20"/>
                <w:szCs w:val="20"/>
              </w:rPr>
            </w:pPr>
            <w:r>
              <w:rPr>
                <w:sz w:val="20"/>
                <w:szCs w:val="20"/>
              </w:rPr>
              <w:t>Разрядность, не менее 8 Бит.</w:t>
            </w:r>
          </w:p>
          <w:p w:rsidR="002373E7" w:rsidRPr="00DB2A6D"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0"/>
              <w:contextualSpacing w:val="0"/>
              <w:rPr>
                <w:sz w:val="20"/>
                <w:szCs w:val="20"/>
              </w:rPr>
            </w:pPr>
            <w:r w:rsidRPr="00DB2A6D">
              <w:rPr>
                <w:sz w:val="20"/>
                <w:szCs w:val="20"/>
              </w:rPr>
              <w:t>8. Система модуля передачи данных удовлетворяет требованиям:</w:t>
            </w:r>
          </w:p>
          <w:p w:rsidR="002373E7" w:rsidRPr="00DB2A6D" w:rsidRDefault="002373E7" w:rsidP="002373E7">
            <w:pPr>
              <w:pStyle w:val="a3"/>
              <w:numPr>
                <w:ilvl w:val="0"/>
                <w:numId w:val="10"/>
              </w:numPr>
              <w:suppressAutoHyphens/>
              <w:contextualSpacing w:val="0"/>
              <w:rPr>
                <w:sz w:val="20"/>
                <w:szCs w:val="20"/>
              </w:rPr>
            </w:pPr>
            <w:r w:rsidRPr="00DB2A6D">
              <w:rPr>
                <w:sz w:val="20"/>
                <w:szCs w:val="20"/>
              </w:rPr>
              <w:t>Держатели сим-карт, не менее 2 шт.;</w:t>
            </w:r>
          </w:p>
          <w:p w:rsidR="002373E7" w:rsidRPr="00DB2A6D" w:rsidRDefault="002373E7" w:rsidP="002373E7">
            <w:pPr>
              <w:pStyle w:val="a3"/>
              <w:numPr>
                <w:ilvl w:val="0"/>
                <w:numId w:val="10"/>
              </w:numPr>
              <w:suppressAutoHyphens/>
              <w:contextualSpacing w:val="0"/>
              <w:rPr>
                <w:sz w:val="20"/>
                <w:szCs w:val="20"/>
                <w:shd w:val="clear" w:color="auto" w:fill="FFFF00"/>
              </w:rPr>
            </w:pPr>
            <w:r w:rsidRPr="00DB2A6D">
              <w:rPr>
                <w:sz w:val="20"/>
                <w:szCs w:val="20"/>
              </w:rPr>
              <w:t>Передача данных на количество серверов, не менее 2;</w:t>
            </w:r>
          </w:p>
          <w:p w:rsidR="002373E7" w:rsidRPr="007F31F5" w:rsidRDefault="002373E7" w:rsidP="002373E7">
            <w:pPr>
              <w:pStyle w:val="a3"/>
              <w:numPr>
                <w:ilvl w:val="0"/>
                <w:numId w:val="10"/>
              </w:numPr>
              <w:suppressAutoHyphens/>
              <w:contextualSpacing w:val="0"/>
              <w:rPr>
                <w:sz w:val="20"/>
                <w:szCs w:val="20"/>
              </w:rPr>
            </w:pPr>
            <w:r w:rsidRPr="00DB2A6D">
              <w:rPr>
                <w:sz w:val="20"/>
                <w:szCs w:val="20"/>
              </w:rPr>
              <w:t>Навигационный модуль ГЛОНАСС/GPS обеспечивает точность определения текущего местоположения транспортного средства с погрешностью не более 5 метров по координатной оси при доверительной вероятности 0,95.</w:t>
            </w:r>
          </w:p>
        </w:tc>
        <w:tc>
          <w:tcPr>
            <w:tcW w:w="709" w:type="dxa"/>
            <w:vMerge w:val="restart"/>
          </w:tcPr>
          <w:p w:rsidR="002373E7" w:rsidRPr="007F31F5" w:rsidRDefault="002373E7" w:rsidP="00E94473">
            <w:pPr>
              <w:jc w:val="center"/>
              <w:rPr>
                <w:b/>
                <w:sz w:val="20"/>
                <w:szCs w:val="20"/>
              </w:rPr>
            </w:pPr>
          </w:p>
        </w:tc>
        <w:tc>
          <w:tcPr>
            <w:tcW w:w="1701" w:type="dxa"/>
            <w:vMerge w:val="restart"/>
          </w:tcPr>
          <w:p w:rsidR="002373E7" w:rsidRPr="007F31F5" w:rsidRDefault="002373E7" w:rsidP="00E94473">
            <w:pPr>
              <w:jc w:val="center"/>
              <w:rPr>
                <w:b/>
                <w:sz w:val="20"/>
                <w:szCs w:val="20"/>
              </w:rPr>
            </w:pPr>
          </w:p>
        </w:tc>
        <w:tc>
          <w:tcPr>
            <w:tcW w:w="851" w:type="dxa"/>
            <w:vMerge w:val="restart"/>
          </w:tcPr>
          <w:p w:rsidR="002373E7" w:rsidRPr="007F31F5" w:rsidRDefault="002373E7" w:rsidP="002373E7">
            <w:pPr>
              <w:jc w:val="center"/>
              <w:rPr>
                <w:b/>
                <w:sz w:val="20"/>
                <w:szCs w:val="20"/>
              </w:rPr>
            </w:pPr>
          </w:p>
        </w:tc>
        <w:tc>
          <w:tcPr>
            <w:tcW w:w="4819" w:type="dxa"/>
            <w:vMerge w:val="restart"/>
          </w:tcPr>
          <w:p w:rsidR="002373E7" w:rsidRDefault="002373E7" w:rsidP="00E94473">
            <w:pPr>
              <w:ind w:right="113"/>
              <w:jc w:val="both"/>
              <w:rPr>
                <w:b/>
                <w:sz w:val="20"/>
                <w:szCs w:val="20"/>
              </w:rPr>
            </w:pPr>
            <w:r w:rsidRPr="00531EA5">
              <w:rPr>
                <w:b/>
                <w:sz w:val="20"/>
                <w:szCs w:val="20"/>
              </w:rPr>
              <w:t>Минимальные и (или) максимальные показатели:</w:t>
            </w:r>
          </w:p>
          <w:p w:rsidR="002373E7" w:rsidRDefault="002373E7" w:rsidP="00E94473">
            <w:pPr>
              <w:pStyle w:val="a3"/>
              <w:ind w:left="0"/>
              <w:contextualSpacing w:val="0"/>
              <w:rPr>
                <w:sz w:val="20"/>
                <w:szCs w:val="20"/>
              </w:rPr>
            </w:pPr>
          </w:p>
          <w:p w:rsidR="002373E7" w:rsidRDefault="002373E7" w:rsidP="00E94473">
            <w:pPr>
              <w:pStyle w:val="a3"/>
              <w:ind w:left="0"/>
              <w:contextualSpacing w:val="0"/>
              <w:rPr>
                <w:sz w:val="20"/>
                <w:szCs w:val="20"/>
              </w:rPr>
            </w:pPr>
          </w:p>
          <w:p w:rsidR="002373E7" w:rsidRPr="00531EA5" w:rsidRDefault="002373E7" w:rsidP="00E94473">
            <w:pPr>
              <w:pStyle w:val="a3"/>
              <w:ind w:left="0"/>
              <w:contextualSpacing w:val="0"/>
              <w:rPr>
                <w:sz w:val="20"/>
                <w:szCs w:val="20"/>
              </w:rPr>
            </w:pPr>
          </w:p>
          <w:p w:rsidR="002373E7" w:rsidRPr="00570232" w:rsidRDefault="002373E7" w:rsidP="002373E7">
            <w:pPr>
              <w:pStyle w:val="a3"/>
              <w:ind w:left="0"/>
              <w:contextualSpacing w:val="0"/>
            </w:pPr>
          </w:p>
        </w:tc>
      </w:tr>
      <w:tr w:rsidR="002373E7" w:rsidRPr="00C40B16" w:rsidTr="00E94473">
        <w:trPr>
          <w:trHeight w:val="379"/>
        </w:trPr>
        <w:tc>
          <w:tcPr>
            <w:tcW w:w="534" w:type="dxa"/>
            <w:vMerge/>
            <w:tcBorders>
              <w:top w:val="nil"/>
            </w:tcBorders>
          </w:tcPr>
          <w:p w:rsidR="002373E7" w:rsidRPr="00C40B16" w:rsidRDefault="002373E7" w:rsidP="00E94473">
            <w:pPr>
              <w:jc w:val="both"/>
              <w:rPr>
                <w:sz w:val="16"/>
                <w:szCs w:val="16"/>
              </w:rPr>
            </w:pPr>
          </w:p>
        </w:tc>
        <w:tc>
          <w:tcPr>
            <w:tcW w:w="1275" w:type="dxa"/>
            <w:vMerge/>
            <w:tcBorders>
              <w:top w:val="nil"/>
            </w:tcBorders>
          </w:tcPr>
          <w:p w:rsidR="002373E7" w:rsidRPr="00C40B16" w:rsidRDefault="002373E7" w:rsidP="00E94473">
            <w:pPr>
              <w:jc w:val="center"/>
              <w:rPr>
                <w:b/>
              </w:rPr>
            </w:pPr>
          </w:p>
        </w:tc>
        <w:tc>
          <w:tcPr>
            <w:tcW w:w="5103" w:type="dxa"/>
            <w:gridSpan w:val="2"/>
            <w:tcBorders>
              <w:top w:val="nil"/>
            </w:tcBorders>
          </w:tcPr>
          <w:p w:rsidR="002373E7" w:rsidRPr="00DB2A6D" w:rsidRDefault="002373E7" w:rsidP="00E94473">
            <w:pPr>
              <w:pStyle w:val="a3"/>
              <w:suppressAutoHyphens/>
              <w:ind w:left="0"/>
              <w:contextualSpacing w:val="0"/>
              <w:rPr>
                <w:b/>
                <w:sz w:val="20"/>
                <w:szCs w:val="20"/>
              </w:rPr>
            </w:pPr>
            <w:r w:rsidRPr="00DB2A6D">
              <w:rPr>
                <w:b/>
                <w:sz w:val="20"/>
                <w:szCs w:val="20"/>
              </w:rPr>
              <w:t xml:space="preserve">Показатели, которые не изменяются: </w:t>
            </w:r>
          </w:p>
          <w:p w:rsidR="002373E7" w:rsidRPr="00DB2A6D" w:rsidRDefault="002373E7" w:rsidP="00E94473">
            <w:pPr>
              <w:pStyle w:val="a3"/>
              <w:suppressAutoHyphens/>
              <w:ind w:left="0"/>
              <w:contextualSpacing w:val="0"/>
              <w:rPr>
                <w:sz w:val="20"/>
                <w:szCs w:val="20"/>
              </w:rPr>
            </w:pPr>
            <w:r>
              <w:rPr>
                <w:sz w:val="20"/>
                <w:szCs w:val="20"/>
              </w:rPr>
              <w:t>1</w:t>
            </w:r>
            <w:r w:rsidRPr="00DB2A6D">
              <w:rPr>
                <w:sz w:val="20"/>
                <w:szCs w:val="20"/>
              </w:rPr>
              <w:t>. Абонентский терминал включает в свой состав:</w:t>
            </w:r>
          </w:p>
          <w:p w:rsidR="002373E7" w:rsidRPr="00DB2A6D" w:rsidRDefault="002373E7" w:rsidP="002373E7">
            <w:pPr>
              <w:pStyle w:val="a3"/>
              <w:numPr>
                <w:ilvl w:val="0"/>
                <w:numId w:val="16"/>
              </w:numPr>
              <w:suppressAutoHyphens/>
              <w:contextualSpacing w:val="0"/>
              <w:rPr>
                <w:sz w:val="20"/>
                <w:szCs w:val="20"/>
              </w:rPr>
            </w:pPr>
            <w:r w:rsidRPr="00DB2A6D">
              <w:rPr>
                <w:sz w:val="20"/>
                <w:szCs w:val="20"/>
              </w:rPr>
              <w:t>Навигационный модуль ГЛОНАСС/GPS;</w:t>
            </w:r>
          </w:p>
          <w:p w:rsidR="002373E7" w:rsidRPr="00DB2A6D" w:rsidRDefault="002373E7" w:rsidP="002373E7">
            <w:pPr>
              <w:pStyle w:val="a3"/>
              <w:numPr>
                <w:ilvl w:val="0"/>
                <w:numId w:val="16"/>
              </w:numPr>
              <w:suppressAutoHyphens/>
              <w:contextualSpacing w:val="0"/>
              <w:rPr>
                <w:sz w:val="20"/>
                <w:szCs w:val="20"/>
              </w:rPr>
            </w:pPr>
            <w:r w:rsidRPr="00DB2A6D">
              <w:rPr>
                <w:sz w:val="20"/>
                <w:szCs w:val="20"/>
              </w:rPr>
              <w:t>Встроенную в корпус абонентского терминала или внешнюю антенну ГЛОНАСС/GPS;</w:t>
            </w:r>
          </w:p>
          <w:p w:rsidR="002373E7" w:rsidRPr="00DB2A6D" w:rsidRDefault="002373E7" w:rsidP="002373E7">
            <w:pPr>
              <w:pStyle w:val="a3"/>
              <w:numPr>
                <w:ilvl w:val="0"/>
                <w:numId w:val="16"/>
              </w:numPr>
              <w:suppressAutoHyphens/>
              <w:contextualSpacing w:val="0"/>
              <w:rPr>
                <w:sz w:val="20"/>
                <w:szCs w:val="20"/>
              </w:rPr>
            </w:pPr>
            <w:r w:rsidRPr="00DB2A6D">
              <w:rPr>
                <w:sz w:val="20"/>
                <w:szCs w:val="20"/>
              </w:rPr>
              <w:t>Встроенную в корпус абонентского терминала или внешнюю антенну GSM/GPRS;</w:t>
            </w:r>
          </w:p>
          <w:p w:rsidR="002373E7" w:rsidRPr="00DB2A6D" w:rsidRDefault="002373E7" w:rsidP="002373E7">
            <w:pPr>
              <w:pStyle w:val="a3"/>
              <w:numPr>
                <w:ilvl w:val="0"/>
                <w:numId w:val="16"/>
              </w:numPr>
              <w:suppressAutoHyphens/>
              <w:contextualSpacing w:val="0"/>
              <w:rPr>
                <w:sz w:val="20"/>
                <w:szCs w:val="20"/>
              </w:rPr>
            </w:pPr>
            <w:r w:rsidRPr="00DB2A6D">
              <w:rPr>
                <w:sz w:val="20"/>
                <w:szCs w:val="20"/>
              </w:rPr>
              <w:t>Соединительные жгуты, если необходимо присоединение к бортовой сети, внешним антеннам и другим исполнительным устройствам, и датчикам;</w:t>
            </w:r>
          </w:p>
          <w:p w:rsidR="002373E7" w:rsidRPr="00DB2A6D" w:rsidRDefault="002373E7" w:rsidP="002373E7">
            <w:pPr>
              <w:pStyle w:val="a3"/>
              <w:numPr>
                <w:ilvl w:val="0"/>
                <w:numId w:val="16"/>
              </w:numPr>
              <w:suppressAutoHyphens/>
              <w:contextualSpacing w:val="0"/>
              <w:rPr>
                <w:sz w:val="20"/>
                <w:szCs w:val="20"/>
              </w:rPr>
            </w:pPr>
            <w:r w:rsidRPr="00DB2A6D">
              <w:rPr>
                <w:sz w:val="20"/>
                <w:szCs w:val="20"/>
              </w:rPr>
              <w:t>Комплект монтажных деталей;</w:t>
            </w:r>
          </w:p>
          <w:p w:rsidR="002373E7" w:rsidRPr="00DB2A6D" w:rsidRDefault="002373E7" w:rsidP="002373E7">
            <w:pPr>
              <w:pStyle w:val="a3"/>
              <w:numPr>
                <w:ilvl w:val="0"/>
                <w:numId w:val="16"/>
              </w:numPr>
              <w:suppressAutoHyphens/>
              <w:contextualSpacing w:val="0"/>
              <w:rPr>
                <w:sz w:val="20"/>
                <w:szCs w:val="20"/>
              </w:rPr>
            </w:pPr>
            <w:r w:rsidRPr="00DB2A6D">
              <w:rPr>
                <w:sz w:val="20"/>
                <w:szCs w:val="20"/>
              </w:rPr>
              <w:t>Встроенный аккумулятор;</w:t>
            </w:r>
          </w:p>
          <w:p w:rsidR="002373E7" w:rsidRDefault="002373E7" w:rsidP="002373E7">
            <w:pPr>
              <w:pStyle w:val="a3"/>
              <w:numPr>
                <w:ilvl w:val="0"/>
                <w:numId w:val="16"/>
              </w:numPr>
              <w:suppressAutoHyphens/>
              <w:contextualSpacing w:val="0"/>
              <w:rPr>
                <w:sz w:val="20"/>
                <w:szCs w:val="20"/>
              </w:rPr>
            </w:pPr>
            <w:r w:rsidRPr="00DB2A6D">
              <w:rPr>
                <w:sz w:val="20"/>
                <w:szCs w:val="20"/>
              </w:rPr>
              <w:t xml:space="preserve">Присутствие цифрового, </w:t>
            </w:r>
            <w:proofErr w:type="spellStart"/>
            <w:r w:rsidRPr="00DB2A6D">
              <w:rPr>
                <w:sz w:val="20"/>
                <w:szCs w:val="20"/>
              </w:rPr>
              <w:t>трехосевого</w:t>
            </w:r>
            <w:proofErr w:type="spellEnd"/>
            <w:r w:rsidRPr="00DB2A6D">
              <w:rPr>
                <w:sz w:val="20"/>
                <w:szCs w:val="20"/>
              </w:rPr>
              <w:t xml:space="preserve"> акселерометра.</w:t>
            </w:r>
          </w:p>
          <w:p w:rsidR="002373E7"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0"/>
              <w:contextualSpacing w:val="0"/>
              <w:rPr>
                <w:sz w:val="20"/>
                <w:szCs w:val="20"/>
              </w:rPr>
            </w:pPr>
            <w:r>
              <w:rPr>
                <w:sz w:val="20"/>
                <w:szCs w:val="20"/>
              </w:rPr>
              <w:t>2</w:t>
            </w:r>
            <w:r w:rsidRPr="00DB2A6D">
              <w:rPr>
                <w:sz w:val="20"/>
                <w:szCs w:val="20"/>
              </w:rPr>
              <w:t>. Абонентский терминал обеспечивает передачу следующего набора мониторинговой информации, включающего в себя:</w:t>
            </w:r>
          </w:p>
          <w:p w:rsidR="002373E7" w:rsidRPr="00DB2A6D" w:rsidRDefault="002373E7" w:rsidP="002373E7">
            <w:pPr>
              <w:pStyle w:val="a3"/>
              <w:numPr>
                <w:ilvl w:val="0"/>
                <w:numId w:val="20"/>
              </w:numPr>
              <w:suppressAutoHyphens/>
              <w:contextualSpacing w:val="0"/>
              <w:rPr>
                <w:sz w:val="20"/>
                <w:szCs w:val="20"/>
              </w:rPr>
            </w:pPr>
            <w:r w:rsidRPr="00DB2A6D">
              <w:rPr>
                <w:sz w:val="20"/>
                <w:szCs w:val="20"/>
              </w:rPr>
              <w:t>Идентификационный номер абонентского терминала;</w:t>
            </w:r>
          </w:p>
          <w:p w:rsidR="002373E7" w:rsidRPr="00DB2A6D" w:rsidRDefault="002373E7" w:rsidP="002373E7">
            <w:pPr>
              <w:pStyle w:val="a3"/>
              <w:numPr>
                <w:ilvl w:val="0"/>
                <w:numId w:val="20"/>
              </w:numPr>
              <w:suppressAutoHyphens/>
              <w:contextualSpacing w:val="0"/>
              <w:rPr>
                <w:sz w:val="20"/>
                <w:szCs w:val="20"/>
              </w:rPr>
            </w:pPr>
            <w:r w:rsidRPr="00DB2A6D">
              <w:rPr>
                <w:sz w:val="20"/>
                <w:szCs w:val="20"/>
              </w:rPr>
              <w:t>Географическую широту местоположения транспортного средства;</w:t>
            </w:r>
          </w:p>
          <w:p w:rsidR="002373E7" w:rsidRPr="00DB2A6D" w:rsidRDefault="002373E7" w:rsidP="002373E7">
            <w:pPr>
              <w:pStyle w:val="a3"/>
              <w:numPr>
                <w:ilvl w:val="0"/>
                <w:numId w:val="20"/>
              </w:numPr>
              <w:suppressAutoHyphens/>
              <w:contextualSpacing w:val="0"/>
              <w:rPr>
                <w:sz w:val="20"/>
                <w:szCs w:val="20"/>
              </w:rPr>
            </w:pPr>
            <w:r w:rsidRPr="00DB2A6D">
              <w:rPr>
                <w:sz w:val="20"/>
                <w:szCs w:val="20"/>
              </w:rPr>
              <w:t>Географическую долготу местоположения транспортного средства;</w:t>
            </w:r>
          </w:p>
          <w:p w:rsidR="002373E7" w:rsidRPr="00DB2A6D" w:rsidRDefault="002373E7" w:rsidP="002373E7">
            <w:pPr>
              <w:pStyle w:val="a3"/>
              <w:numPr>
                <w:ilvl w:val="0"/>
                <w:numId w:val="20"/>
              </w:numPr>
              <w:suppressAutoHyphens/>
              <w:contextualSpacing w:val="0"/>
              <w:rPr>
                <w:sz w:val="20"/>
                <w:szCs w:val="20"/>
              </w:rPr>
            </w:pPr>
            <w:r w:rsidRPr="00DB2A6D">
              <w:rPr>
                <w:sz w:val="20"/>
                <w:szCs w:val="20"/>
              </w:rPr>
              <w:t>Скорость движения транспортного средства;</w:t>
            </w:r>
          </w:p>
          <w:p w:rsidR="002373E7" w:rsidRPr="00DB2A6D" w:rsidRDefault="002373E7" w:rsidP="002373E7">
            <w:pPr>
              <w:pStyle w:val="a3"/>
              <w:numPr>
                <w:ilvl w:val="0"/>
                <w:numId w:val="20"/>
              </w:numPr>
              <w:suppressAutoHyphens/>
              <w:contextualSpacing w:val="0"/>
              <w:rPr>
                <w:sz w:val="20"/>
                <w:szCs w:val="20"/>
              </w:rPr>
            </w:pPr>
            <w:r w:rsidRPr="00DB2A6D">
              <w:rPr>
                <w:sz w:val="20"/>
                <w:szCs w:val="20"/>
              </w:rPr>
              <w:t>Путевой угол транспортного средства;</w:t>
            </w:r>
          </w:p>
          <w:p w:rsidR="002373E7" w:rsidRDefault="002373E7" w:rsidP="002373E7">
            <w:pPr>
              <w:pStyle w:val="a3"/>
              <w:numPr>
                <w:ilvl w:val="0"/>
                <w:numId w:val="20"/>
              </w:numPr>
              <w:suppressAutoHyphens/>
              <w:contextualSpacing w:val="0"/>
              <w:rPr>
                <w:sz w:val="20"/>
                <w:szCs w:val="20"/>
              </w:rPr>
            </w:pPr>
            <w:r w:rsidRPr="00DB2A6D">
              <w:rPr>
                <w:sz w:val="20"/>
                <w:szCs w:val="20"/>
              </w:rPr>
              <w:t>Время и дату фиксации местоположения транспортного средства.</w:t>
            </w:r>
          </w:p>
          <w:p w:rsidR="002373E7" w:rsidRPr="00A22D29"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3</w:t>
            </w:r>
            <w:r w:rsidRPr="00DB2A6D">
              <w:rPr>
                <w:sz w:val="20"/>
                <w:szCs w:val="20"/>
              </w:rPr>
              <w:t>. Абонентский терминал в случае подключения дополнительных устройств для выполнения функции диспетчерского управления, контроля и мониторинга обеспечивает включение в состав мониторинговой инфор</w:t>
            </w:r>
            <w:r>
              <w:rPr>
                <w:sz w:val="20"/>
                <w:szCs w:val="20"/>
              </w:rPr>
              <w:t>мации данных от этих устройств.</w:t>
            </w:r>
          </w:p>
          <w:p w:rsidR="002373E7" w:rsidRPr="00DB2A6D"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4</w:t>
            </w:r>
            <w:r w:rsidRPr="00DB2A6D">
              <w:rPr>
                <w:sz w:val="20"/>
                <w:szCs w:val="20"/>
              </w:rPr>
              <w:t>. В абонентском терминале для подключения датчиков, исполнительных устройств и электропитания используются разъемы, контакты которых защищены от взаимного замыкания.</w:t>
            </w:r>
          </w:p>
          <w:p w:rsidR="002373E7" w:rsidRPr="00DB2A6D"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5</w:t>
            </w:r>
            <w:r w:rsidRPr="00DB2A6D">
              <w:rPr>
                <w:sz w:val="20"/>
                <w:szCs w:val="20"/>
              </w:rPr>
              <w:t>. Абонентский терминал по устойчивости к климатическим воздействиям должен соответствовать требованиям Приложения №11 и №12 к Правилам применения абонентских станций (абонентских радиостанций) сетей подвижной радиотелефонной связи стандарта GSM-900/1800, утвержденным приказом Министерства информационных технологий и связи Российской Федерации от 19.02.2008 №21.</w:t>
            </w:r>
          </w:p>
          <w:p w:rsidR="002373E7"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r>
              <w:rPr>
                <w:sz w:val="20"/>
                <w:szCs w:val="20"/>
              </w:rPr>
              <w:t>6</w:t>
            </w:r>
            <w:r w:rsidRPr="00DB2A6D">
              <w:rPr>
                <w:sz w:val="20"/>
                <w:szCs w:val="20"/>
              </w:rPr>
              <w:t>. По степени защищенности от проникновения посторонних тел и воды абонентский терминал должен быть:</w:t>
            </w:r>
          </w:p>
          <w:p w:rsidR="002373E7" w:rsidRPr="00DB2A6D" w:rsidRDefault="002373E7" w:rsidP="002373E7">
            <w:pPr>
              <w:pStyle w:val="a3"/>
              <w:numPr>
                <w:ilvl w:val="0"/>
                <w:numId w:val="21"/>
              </w:numPr>
              <w:suppressAutoHyphens/>
              <w:contextualSpacing w:val="0"/>
              <w:rPr>
                <w:sz w:val="20"/>
                <w:szCs w:val="20"/>
              </w:rPr>
            </w:pPr>
            <w:r w:rsidRPr="00DB2A6D">
              <w:rPr>
                <w:sz w:val="20"/>
                <w:szCs w:val="20"/>
              </w:rPr>
              <w:t xml:space="preserve">Пылезащищенным (пыль не проникает в </w:t>
            </w:r>
            <w:r w:rsidRPr="00DB2A6D">
              <w:rPr>
                <w:sz w:val="20"/>
                <w:szCs w:val="20"/>
              </w:rPr>
              <w:lastRenderedPageBreak/>
              <w:t>количестве, достаточном для нарушения нормальной работы оборудования и снижения его безопасности);</w:t>
            </w:r>
          </w:p>
          <w:p w:rsidR="002373E7" w:rsidRDefault="002373E7" w:rsidP="002373E7">
            <w:pPr>
              <w:pStyle w:val="a3"/>
              <w:numPr>
                <w:ilvl w:val="0"/>
                <w:numId w:val="21"/>
              </w:numPr>
              <w:suppressAutoHyphens/>
              <w:contextualSpacing w:val="0"/>
              <w:rPr>
                <w:sz w:val="20"/>
                <w:szCs w:val="20"/>
              </w:rPr>
            </w:pPr>
            <w:r w:rsidRPr="00DB2A6D">
              <w:rPr>
                <w:sz w:val="20"/>
                <w:szCs w:val="20"/>
              </w:rPr>
              <w:t>Защищенным от вертикально падающих капель воды (вертикально падающие капли воды не нарушают нормальной работы оборудования).</w:t>
            </w:r>
          </w:p>
          <w:p w:rsidR="002373E7" w:rsidRPr="00DB2A6D" w:rsidRDefault="002373E7" w:rsidP="00E94473">
            <w:pPr>
              <w:pStyle w:val="a3"/>
              <w:suppressAutoHyphens/>
              <w:ind w:left="36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7</w:t>
            </w:r>
            <w:r w:rsidRPr="00DB2A6D">
              <w:rPr>
                <w:sz w:val="20"/>
                <w:szCs w:val="20"/>
              </w:rPr>
              <w:t xml:space="preserve">. Абонентский терминал обеспечивает </w:t>
            </w:r>
          </w:p>
          <w:p w:rsidR="002373E7" w:rsidRDefault="002373E7" w:rsidP="00E94473">
            <w:pPr>
              <w:pStyle w:val="a3"/>
              <w:suppressAutoHyphens/>
              <w:ind w:left="0"/>
              <w:contextualSpacing w:val="0"/>
              <w:rPr>
                <w:bCs/>
                <w:color w:val="26282F"/>
                <w:sz w:val="20"/>
                <w:szCs w:val="20"/>
              </w:rPr>
            </w:pPr>
            <w:proofErr w:type="gramStart"/>
            <w:r w:rsidRPr="00DB2A6D">
              <w:rPr>
                <w:sz w:val="20"/>
                <w:szCs w:val="20"/>
              </w:rPr>
              <w:t>электромагнитную</w:t>
            </w:r>
            <w:proofErr w:type="gramEnd"/>
            <w:r w:rsidRPr="00DB2A6D">
              <w:rPr>
                <w:sz w:val="20"/>
                <w:szCs w:val="20"/>
              </w:rPr>
              <w:t xml:space="preserve"> совместимость и устойчивость к воздействию электромагнитных помех в соответствии с требованиями Приложения №2 к </w:t>
            </w:r>
            <w:r w:rsidRPr="00DB2A6D">
              <w:rPr>
                <w:bCs/>
                <w:color w:val="26282F"/>
                <w:sz w:val="20"/>
                <w:szCs w:val="20"/>
              </w:rPr>
              <w:t>Техническому регламенту Таможенного союза ТР ТС 018/2011 "О безопасности колесных транспортных средств"</w:t>
            </w:r>
            <w:r w:rsidRPr="00DB2A6D">
              <w:rPr>
                <w:bCs/>
                <w:color w:val="26282F"/>
                <w:sz w:val="20"/>
                <w:szCs w:val="20"/>
              </w:rPr>
              <w:br/>
              <w:t xml:space="preserve">(утв. </w:t>
            </w:r>
            <w:r w:rsidRPr="00DB2A6D">
              <w:rPr>
                <w:sz w:val="20"/>
                <w:szCs w:val="20"/>
              </w:rPr>
              <w:t>решением</w:t>
            </w:r>
            <w:r w:rsidRPr="00DB2A6D">
              <w:rPr>
                <w:bCs/>
                <w:color w:val="26282F"/>
                <w:sz w:val="20"/>
                <w:szCs w:val="20"/>
              </w:rPr>
              <w:t xml:space="preserve"> Комиссии Таможенного союза от 9 декабря 2011 г. N 877);</w:t>
            </w:r>
          </w:p>
          <w:p w:rsidR="002373E7" w:rsidRDefault="002373E7" w:rsidP="00E94473">
            <w:pPr>
              <w:pStyle w:val="a3"/>
              <w:suppressAutoHyphens/>
              <w:ind w:left="0"/>
              <w:contextualSpacing w:val="0"/>
              <w:rPr>
                <w:bCs/>
                <w:color w:val="26282F"/>
                <w:sz w:val="20"/>
                <w:szCs w:val="20"/>
              </w:rPr>
            </w:pPr>
          </w:p>
          <w:p w:rsidR="002373E7" w:rsidRDefault="002373E7" w:rsidP="00E94473">
            <w:pPr>
              <w:pStyle w:val="a3"/>
              <w:suppressAutoHyphens/>
              <w:ind w:left="0"/>
              <w:contextualSpacing w:val="0"/>
              <w:rPr>
                <w:bCs/>
                <w:color w:val="26282F"/>
                <w:sz w:val="20"/>
                <w:szCs w:val="20"/>
              </w:rPr>
            </w:pPr>
          </w:p>
          <w:p w:rsidR="002373E7" w:rsidRDefault="002373E7" w:rsidP="00E94473">
            <w:pPr>
              <w:pStyle w:val="a3"/>
              <w:suppressAutoHyphens/>
              <w:ind w:left="0"/>
              <w:contextualSpacing w:val="0"/>
              <w:rPr>
                <w:sz w:val="20"/>
                <w:szCs w:val="20"/>
              </w:rPr>
            </w:pPr>
            <w:r>
              <w:rPr>
                <w:sz w:val="20"/>
                <w:szCs w:val="20"/>
              </w:rPr>
              <w:t>8</w:t>
            </w:r>
            <w:r w:rsidRPr="00DB2A6D">
              <w:rPr>
                <w:sz w:val="20"/>
                <w:szCs w:val="20"/>
              </w:rPr>
              <w:t>. При выходе абонентского терминала из строя абонентский терминал не выделяет тепловую энергию, достаточную для возгорания, штатно установленного в транспортном средстве оборудования, а также субстанции, негати</w:t>
            </w:r>
            <w:r>
              <w:rPr>
                <w:sz w:val="20"/>
                <w:szCs w:val="20"/>
              </w:rPr>
              <w:t>вно влияющие на здоровье людей.</w:t>
            </w:r>
          </w:p>
          <w:p w:rsidR="002373E7"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r>
              <w:rPr>
                <w:sz w:val="20"/>
                <w:szCs w:val="20"/>
              </w:rPr>
              <w:t>9</w:t>
            </w:r>
            <w:r w:rsidRPr="00DB2A6D">
              <w:rPr>
                <w:sz w:val="20"/>
                <w:szCs w:val="20"/>
              </w:rPr>
              <w:t>. Система электропитания абонентского терминала удовлетворяет следующим требованиям:</w:t>
            </w:r>
          </w:p>
          <w:p w:rsidR="002373E7" w:rsidRPr="00DB2A6D" w:rsidRDefault="002373E7" w:rsidP="002373E7">
            <w:pPr>
              <w:pStyle w:val="a3"/>
              <w:numPr>
                <w:ilvl w:val="0"/>
                <w:numId w:val="22"/>
              </w:numPr>
              <w:suppressAutoHyphens/>
              <w:contextualSpacing w:val="0"/>
              <w:rPr>
                <w:sz w:val="20"/>
                <w:szCs w:val="20"/>
              </w:rPr>
            </w:pPr>
            <w:r w:rsidRPr="00DB2A6D">
              <w:rPr>
                <w:sz w:val="20"/>
                <w:szCs w:val="20"/>
              </w:rPr>
              <w:t>Температурный диапазон от -40 до +85°С;</w:t>
            </w:r>
          </w:p>
          <w:p w:rsidR="002373E7" w:rsidRPr="00DB2A6D" w:rsidRDefault="002373E7" w:rsidP="002373E7">
            <w:pPr>
              <w:pStyle w:val="a3"/>
              <w:numPr>
                <w:ilvl w:val="0"/>
                <w:numId w:val="22"/>
              </w:numPr>
              <w:suppressAutoHyphens/>
              <w:contextualSpacing w:val="0"/>
              <w:rPr>
                <w:sz w:val="20"/>
                <w:szCs w:val="20"/>
              </w:rPr>
            </w:pPr>
            <w:r w:rsidRPr="00DB2A6D">
              <w:rPr>
                <w:sz w:val="20"/>
                <w:szCs w:val="20"/>
              </w:rPr>
              <w:t>Наличие защиты от обратной полярности питающего напряжения;</w:t>
            </w:r>
          </w:p>
          <w:p w:rsidR="002373E7" w:rsidRPr="00DB2A6D" w:rsidRDefault="002373E7" w:rsidP="002373E7">
            <w:pPr>
              <w:pStyle w:val="a3"/>
              <w:numPr>
                <w:ilvl w:val="0"/>
                <w:numId w:val="22"/>
              </w:numPr>
              <w:suppressAutoHyphens/>
              <w:contextualSpacing w:val="0"/>
              <w:rPr>
                <w:sz w:val="20"/>
                <w:szCs w:val="20"/>
              </w:rPr>
            </w:pPr>
            <w:r w:rsidRPr="00DB2A6D">
              <w:rPr>
                <w:sz w:val="20"/>
                <w:szCs w:val="20"/>
              </w:rPr>
              <w:t>Наличие защиты от повышенного, пониженного напряжения;</w:t>
            </w:r>
          </w:p>
          <w:p w:rsidR="002373E7" w:rsidRPr="00DB2A6D" w:rsidRDefault="002373E7" w:rsidP="002373E7">
            <w:pPr>
              <w:pStyle w:val="a3"/>
              <w:numPr>
                <w:ilvl w:val="0"/>
                <w:numId w:val="22"/>
              </w:numPr>
              <w:suppressAutoHyphens/>
              <w:contextualSpacing w:val="0"/>
              <w:rPr>
                <w:sz w:val="20"/>
                <w:szCs w:val="20"/>
                <w:shd w:val="clear" w:color="auto" w:fill="FFFF00"/>
              </w:rPr>
            </w:pPr>
            <w:r w:rsidRPr="00DB2A6D">
              <w:rPr>
                <w:sz w:val="20"/>
                <w:szCs w:val="20"/>
              </w:rPr>
              <w:t xml:space="preserve">Наличие защиты от кратковременных выбросов напряжения; </w:t>
            </w:r>
          </w:p>
          <w:p w:rsidR="002373E7" w:rsidRPr="00A22D29" w:rsidRDefault="002373E7" w:rsidP="002373E7">
            <w:pPr>
              <w:pStyle w:val="a3"/>
              <w:numPr>
                <w:ilvl w:val="0"/>
                <w:numId w:val="22"/>
              </w:numPr>
              <w:suppressAutoHyphens/>
              <w:contextualSpacing w:val="0"/>
              <w:rPr>
                <w:sz w:val="20"/>
                <w:szCs w:val="20"/>
              </w:rPr>
            </w:pPr>
            <w:r w:rsidRPr="00A22D29">
              <w:rPr>
                <w:sz w:val="20"/>
                <w:szCs w:val="20"/>
              </w:rPr>
              <w:t>Наличие защиты по току;</w:t>
            </w:r>
          </w:p>
          <w:p w:rsidR="002373E7" w:rsidRPr="00DB2A6D" w:rsidRDefault="002373E7" w:rsidP="002373E7">
            <w:pPr>
              <w:pStyle w:val="a3"/>
              <w:numPr>
                <w:ilvl w:val="0"/>
                <w:numId w:val="22"/>
              </w:numPr>
              <w:suppressAutoHyphens/>
              <w:contextualSpacing w:val="0"/>
              <w:rPr>
                <w:sz w:val="20"/>
                <w:szCs w:val="20"/>
              </w:rPr>
            </w:pPr>
            <w:r w:rsidRPr="00DB2A6D">
              <w:rPr>
                <w:sz w:val="20"/>
                <w:szCs w:val="20"/>
              </w:rPr>
              <w:t>Наличие защиты от импульсных помех;</w:t>
            </w:r>
          </w:p>
          <w:p w:rsidR="002373E7" w:rsidRPr="00DB2A6D" w:rsidRDefault="002373E7" w:rsidP="002373E7">
            <w:pPr>
              <w:pStyle w:val="a3"/>
              <w:numPr>
                <w:ilvl w:val="0"/>
                <w:numId w:val="22"/>
              </w:numPr>
              <w:suppressAutoHyphens/>
              <w:contextualSpacing w:val="0"/>
              <w:rPr>
                <w:sz w:val="20"/>
                <w:szCs w:val="20"/>
              </w:rPr>
            </w:pPr>
            <w:r w:rsidRPr="00DB2A6D">
              <w:rPr>
                <w:sz w:val="20"/>
                <w:szCs w:val="20"/>
              </w:rPr>
              <w:t>Автоматическое включение абонентского терминала при подаче бортового питания;</w:t>
            </w:r>
          </w:p>
          <w:p w:rsidR="002373E7" w:rsidRDefault="002373E7" w:rsidP="002373E7">
            <w:pPr>
              <w:pStyle w:val="a3"/>
              <w:numPr>
                <w:ilvl w:val="0"/>
                <w:numId w:val="22"/>
              </w:numPr>
              <w:suppressAutoHyphens/>
              <w:contextualSpacing w:val="0"/>
              <w:rPr>
                <w:sz w:val="20"/>
                <w:szCs w:val="20"/>
              </w:rPr>
            </w:pPr>
            <w:r w:rsidRPr="00DB2A6D">
              <w:rPr>
                <w:sz w:val="20"/>
                <w:szCs w:val="20"/>
              </w:rPr>
              <w:t>Встроенный аккумулятор;</w:t>
            </w:r>
          </w:p>
          <w:p w:rsidR="002373E7" w:rsidRPr="00DB2A6D"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0"/>
              <w:contextualSpacing w:val="0"/>
              <w:rPr>
                <w:sz w:val="20"/>
                <w:szCs w:val="20"/>
              </w:rPr>
            </w:pPr>
            <w:r>
              <w:rPr>
                <w:sz w:val="20"/>
                <w:szCs w:val="20"/>
              </w:rPr>
              <w:t>10</w:t>
            </w:r>
            <w:r w:rsidRPr="00DB2A6D">
              <w:rPr>
                <w:sz w:val="20"/>
                <w:szCs w:val="20"/>
              </w:rPr>
              <w:t xml:space="preserve">. Система вычислительных модулей удовлетворяет </w:t>
            </w:r>
            <w:r w:rsidRPr="00DB2A6D">
              <w:rPr>
                <w:sz w:val="20"/>
                <w:szCs w:val="20"/>
              </w:rPr>
              <w:lastRenderedPageBreak/>
              <w:t>требованиям:</w:t>
            </w:r>
          </w:p>
          <w:p w:rsidR="002373E7" w:rsidRPr="00DB2A6D" w:rsidRDefault="002373E7" w:rsidP="002373E7">
            <w:pPr>
              <w:pStyle w:val="a3"/>
              <w:numPr>
                <w:ilvl w:val="0"/>
                <w:numId w:val="23"/>
              </w:numPr>
              <w:suppressAutoHyphens/>
              <w:contextualSpacing w:val="0"/>
              <w:rPr>
                <w:sz w:val="20"/>
                <w:szCs w:val="20"/>
              </w:rPr>
            </w:pPr>
            <w:r w:rsidRPr="00DB2A6D">
              <w:rPr>
                <w:sz w:val="20"/>
                <w:szCs w:val="20"/>
              </w:rPr>
              <w:t xml:space="preserve">Наличие держателя </w:t>
            </w:r>
            <w:proofErr w:type="spellStart"/>
            <w:r w:rsidRPr="00DB2A6D">
              <w:rPr>
                <w:sz w:val="20"/>
                <w:szCs w:val="20"/>
              </w:rPr>
              <w:t>MicroSD</w:t>
            </w:r>
            <w:proofErr w:type="spellEnd"/>
            <w:r w:rsidRPr="00DB2A6D">
              <w:rPr>
                <w:sz w:val="20"/>
                <w:szCs w:val="20"/>
              </w:rPr>
              <w:t>;</w:t>
            </w:r>
          </w:p>
          <w:p w:rsidR="002373E7" w:rsidRPr="00DB2A6D" w:rsidRDefault="002373E7" w:rsidP="002373E7">
            <w:pPr>
              <w:pStyle w:val="a3"/>
              <w:numPr>
                <w:ilvl w:val="0"/>
                <w:numId w:val="23"/>
              </w:numPr>
              <w:suppressAutoHyphens/>
              <w:contextualSpacing w:val="0"/>
              <w:rPr>
                <w:sz w:val="20"/>
                <w:szCs w:val="20"/>
              </w:rPr>
            </w:pPr>
            <w:r w:rsidRPr="00DB2A6D">
              <w:rPr>
                <w:sz w:val="20"/>
                <w:szCs w:val="20"/>
              </w:rPr>
              <w:t>Протокол передачи, Совместимый (открытый) EGTS;</w:t>
            </w:r>
          </w:p>
          <w:p w:rsidR="002373E7" w:rsidRPr="00DB2A6D" w:rsidRDefault="002373E7" w:rsidP="002373E7">
            <w:pPr>
              <w:pStyle w:val="a3"/>
              <w:numPr>
                <w:ilvl w:val="0"/>
                <w:numId w:val="23"/>
              </w:numPr>
              <w:suppressAutoHyphens/>
              <w:contextualSpacing w:val="0"/>
              <w:rPr>
                <w:sz w:val="20"/>
                <w:szCs w:val="20"/>
              </w:rPr>
            </w:pPr>
            <w:r w:rsidRPr="00DB2A6D">
              <w:rPr>
                <w:sz w:val="20"/>
                <w:szCs w:val="20"/>
              </w:rPr>
              <w:t>Наличие защиты накопленной информации от несанкционированного доступа и корректировки;</w:t>
            </w:r>
          </w:p>
          <w:p w:rsidR="002373E7" w:rsidRPr="00DB2A6D" w:rsidRDefault="002373E7" w:rsidP="002373E7">
            <w:pPr>
              <w:pStyle w:val="a3"/>
              <w:numPr>
                <w:ilvl w:val="0"/>
                <w:numId w:val="23"/>
              </w:numPr>
              <w:suppressAutoHyphens/>
              <w:contextualSpacing w:val="0"/>
              <w:rPr>
                <w:sz w:val="20"/>
                <w:szCs w:val="20"/>
              </w:rPr>
            </w:pPr>
            <w:r w:rsidRPr="00DB2A6D">
              <w:rPr>
                <w:sz w:val="20"/>
                <w:szCs w:val="20"/>
              </w:rPr>
              <w:t>Наличие дистанционного изменения параметров и управление периферией;</w:t>
            </w:r>
          </w:p>
          <w:p w:rsidR="002373E7" w:rsidRPr="00DB2A6D" w:rsidRDefault="002373E7" w:rsidP="002373E7">
            <w:pPr>
              <w:pStyle w:val="a3"/>
              <w:numPr>
                <w:ilvl w:val="0"/>
                <w:numId w:val="23"/>
              </w:numPr>
              <w:suppressAutoHyphens/>
              <w:contextualSpacing w:val="0"/>
              <w:rPr>
                <w:sz w:val="20"/>
                <w:szCs w:val="20"/>
              </w:rPr>
            </w:pPr>
            <w:r w:rsidRPr="00DB2A6D">
              <w:rPr>
                <w:sz w:val="20"/>
                <w:szCs w:val="20"/>
              </w:rPr>
              <w:t>Наличие дистанционного обновления программного обеспечения;</w:t>
            </w:r>
          </w:p>
          <w:p w:rsidR="002373E7" w:rsidRDefault="002373E7" w:rsidP="002373E7">
            <w:pPr>
              <w:pStyle w:val="a3"/>
              <w:numPr>
                <w:ilvl w:val="0"/>
                <w:numId w:val="23"/>
              </w:numPr>
              <w:suppressAutoHyphens/>
              <w:contextualSpacing w:val="0"/>
              <w:rPr>
                <w:sz w:val="20"/>
                <w:szCs w:val="20"/>
              </w:rPr>
            </w:pPr>
            <w:r w:rsidRPr="00DB2A6D">
              <w:rPr>
                <w:sz w:val="20"/>
                <w:szCs w:val="20"/>
              </w:rPr>
              <w:t>Наличие контроля доступа к транспортному средству;</w:t>
            </w:r>
          </w:p>
          <w:p w:rsidR="002373E7"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360"/>
              <w:contextualSpacing w:val="0"/>
              <w:rPr>
                <w:sz w:val="20"/>
                <w:szCs w:val="20"/>
              </w:rPr>
            </w:pPr>
          </w:p>
          <w:p w:rsidR="002373E7" w:rsidRPr="00DB2A6D" w:rsidRDefault="002373E7" w:rsidP="00E94473">
            <w:pPr>
              <w:pStyle w:val="a3"/>
              <w:suppressAutoHyphens/>
              <w:ind w:left="0"/>
              <w:contextualSpacing w:val="0"/>
              <w:rPr>
                <w:sz w:val="20"/>
                <w:szCs w:val="20"/>
              </w:rPr>
            </w:pPr>
            <w:r>
              <w:rPr>
                <w:sz w:val="20"/>
                <w:szCs w:val="20"/>
              </w:rPr>
              <w:t>11</w:t>
            </w:r>
            <w:r w:rsidRPr="00DB2A6D">
              <w:rPr>
                <w:sz w:val="20"/>
                <w:szCs w:val="20"/>
              </w:rPr>
              <w:t>. Система модуля передачи данных удовлетворяет требованиям:</w:t>
            </w:r>
          </w:p>
          <w:p w:rsidR="002373E7" w:rsidRPr="007F31F5" w:rsidRDefault="002373E7" w:rsidP="002373E7">
            <w:pPr>
              <w:pStyle w:val="a3"/>
              <w:numPr>
                <w:ilvl w:val="0"/>
                <w:numId w:val="13"/>
              </w:numPr>
              <w:suppressAutoHyphens/>
              <w:contextualSpacing w:val="0"/>
              <w:rPr>
                <w:sz w:val="20"/>
                <w:szCs w:val="20"/>
                <w:lang w:val="en-US"/>
              </w:rPr>
            </w:pPr>
            <w:r w:rsidRPr="00DB2A6D">
              <w:rPr>
                <w:sz w:val="20"/>
                <w:szCs w:val="20"/>
              </w:rPr>
              <w:t>Передача</w:t>
            </w:r>
            <w:r w:rsidRPr="007F31F5">
              <w:rPr>
                <w:sz w:val="20"/>
                <w:szCs w:val="20"/>
                <w:lang w:val="en-US"/>
              </w:rPr>
              <w:t xml:space="preserve"> </w:t>
            </w:r>
            <w:r w:rsidRPr="00DB2A6D">
              <w:rPr>
                <w:sz w:val="20"/>
                <w:szCs w:val="20"/>
              </w:rPr>
              <w:t>данных</w:t>
            </w:r>
            <w:r w:rsidRPr="007F31F5">
              <w:rPr>
                <w:sz w:val="20"/>
                <w:szCs w:val="20"/>
                <w:lang w:val="en-US"/>
              </w:rPr>
              <w:t xml:space="preserve"> </w:t>
            </w:r>
            <w:r w:rsidRPr="00DB2A6D">
              <w:rPr>
                <w:sz w:val="20"/>
                <w:szCs w:val="20"/>
                <w:lang w:val="en-US"/>
              </w:rPr>
              <w:t>GSM</w:t>
            </w:r>
            <w:r w:rsidRPr="007F31F5">
              <w:rPr>
                <w:sz w:val="20"/>
                <w:szCs w:val="20"/>
                <w:lang w:val="en-US"/>
              </w:rPr>
              <w:t xml:space="preserve">, </w:t>
            </w:r>
            <w:r w:rsidRPr="00DB2A6D">
              <w:rPr>
                <w:sz w:val="20"/>
                <w:szCs w:val="20"/>
                <w:lang w:val="en-US"/>
              </w:rPr>
              <w:t>GPRS</w:t>
            </w:r>
            <w:r w:rsidRPr="007F31F5">
              <w:rPr>
                <w:sz w:val="20"/>
                <w:szCs w:val="20"/>
                <w:lang w:val="en-US"/>
              </w:rPr>
              <w:t xml:space="preserve">, </w:t>
            </w:r>
            <w:r w:rsidRPr="00DB2A6D">
              <w:rPr>
                <w:sz w:val="20"/>
                <w:szCs w:val="20"/>
                <w:lang w:val="en-US"/>
              </w:rPr>
              <w:t>EDGE</w:t>
            </w:r>
            <w:r w:rsidRPr="007F31F5">
              <w:rPr>
                <w:sz w:val="20"/>
                <w:szCs w:val="20"/>
                <w:lang w:val="en-US"/>
              </w:rPr>
              <w:t xml:space="preserve"> </w:t>
            </w:r>
            <w:r w:rsidRPr="00DB2A6D">
              <w:rPr>
                <w:sz w:val="20"/>
                <w:szCs w:val="20"/>
                <w:lang w:val="en-US"/>
              </w:rPr>
              <w:t>Multi</w:t>
            </w:r>
            <w:r w:rsidRPr="007F31F5">
              <w:rPr>
                <w:sz w:val="20"/>
                <w:szCs w:val="20"/>
                <w:lang w:val="en-US"/>
              </w:rPr>
              <w:t>-</w:t>
            </w:r>
            <w:r w:rsidRPr="00DB2A6D">
              <w:rPr>
                <w:sz w:val="20"/>
                <w:szCs w:val="20"/>
                <w:lang w:val="en-US"/>
              </w:rPr>
              <w:t>slot</w:t>
            </w:r>
            <w:r w:rsidRPr="007F31F5">
              <w:rPr>
                <w:sz w:val="20"/>
                <w:szCs w:val="20"/>
                <w:lang w:val="en-US"/>
              </w:rPr>
              <w:t xml:space="preserve"> </w:t>
            </w:r>
            <w:r w:rsidRPr="00DB2A6D">
              <w:rPr>
                <w:sz w:val="20"/>
                <w:szCs w:val="20"/>
                <w:lang w:val="en-US"/>
              </w:rPr>
              <w:t>Class</w:t>
            </w:r>
            <w:r w:rsidRPr="007F31F5">
              <w:rPr>
                <w:sz w:val="20"/>
                <w:szCs w:val="20"/>
                <w:lang w:val="en-US"/>
              </w:rPr>
              <w:t xml:space="preserve"> 12, </w:t>
            </w:r>
            <w:r w:rsidRPr="00DB2A6D">
              <w:rPr>
                <w:sz w:val="20"/>
                <w:szCs w:val="20"/>
                <w:lang w:val="en-US"/>
              </w:rPr>
              <w:t>HSDPA</w:t>
            </w:r>
            <w:r w:rsidRPr="007F31F5">
              <w:rPr>
                <w:sz w:val="20"/>
                <w:szCs w:val="20"/>
                <w:lang w:val="en-US"/>
              </w:rPr>
              <w:t xml:space="preserve"> 3</w:t>
            </w:r>
            <w:r w:rsidRPr="00DB2A6D">
              <w:rPr>
                <w:sz w:val="20"/>
                <w:szCs w:val="20"/>
                <w:lang w:val="en-US"/>
              </w:rPr>
              <w:t>GPP</w:t>
            </w:r>
            <w:r w:rsidRPr="007F31F5">
              <w:rPr>
                <w:sz w:val="20"/>
                <w:szCs w:val="20"/>
                <w:lang w:val="en-US"/>
              </w:rPr>
              <w:t xml:space="preserve"> </w:t>
            </w:r>
            <w:r w:rsidRPr="00DB2A6D">
              <w:rPr>
                <w:sz w:val="20"/>
                <w:szCs w:val="20"/>
                <w:lang w:val="en-US"/>
              </w:rPr>
              <w:t>release</w:t>
            </w:r>
            <w:r w:rsidRPr="007F31F5">
              <w:rPr>
                <w:sz w:val="20"/>
                <w:szCs w:val="20"/>
                <w:lang w:val="en-US"/>
              </w:rPr>
              <w:t xml:space="preserve"> 5;</w:t>
            </w:r>
          </w:p>
          <w:p w:rsidR="002373E7" w:rsidRDefault="002373E7" w:rsidP="002373E7">
            <w:pPr>
              <w:pStyle w:val="a3"/>
              <w:numPr>
                <w:ilvl w:val="0"/>
                <w:numId w:val="13"/>
              </w:numPr>
              <w:suppressAutoHyphens/>
              <w:contextualSpacing w:val="0"/>
              <w:rPr>
                <w:sz w:val="20"/>
                <w:szCs w:val="20"/>
              </w:rPr>
            </w:pPr>
            <w:r w:rsidRPr="00DB2A6D">
              <w:rPr>
                <w:sz w:val="20"/>
                <w:szCs w:val="20"/>
              </w:rPr>
              <w:t>Частоты 900,1800,1900,2100 МГц.</w:t>
            </w:r>
          </w:p>
          <w:p w:rsidR="002373E7" w:rsidRPr="00DB2A6D" w:rsidRDefault="002373E7" w:rsidP="00E94473">
            <w:pPr>
              <w:pStyle w:val="a3"/>
              <w:suppressAutoHyphens/>
              <w:ind w:left="36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12</w:t>
            </w:r>
            <w:r w:rsidRPr="00DB2A6D">
              <w:rPr>
                <w:sz w:val="20"/>
                <w:szCs w:val="20"/>
              </w:rPr>
              <w:t>. Навигационный модуль ГЛОНАСС/GPS обеспечивает формирование данных о местоположении (долгота, широта, высота), скорости движения и путевого угла, времени, дате в формате UTC. Формирование этих данных должно осуществляться с использованием навигационных сигналов спутников ГЛОНАСС.</w:t>
            </w:r>
          </w:p>
          <w:p w:rsidR="002373E7" w:rsidRPr="00DB2A6D"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13</w:t>
            </w:r>
            <w:r w:rsidRPr="00DB2A6D">
              <w:rPr>
                <w:sz w:val="20"/>
                <w:szCs w:val="20"/>
              </w:rPr>
              <w:t>. Навигационный модуль ГЛОНАСС/GPS обеспечивает возможность доступа к навигационным данным в соответствии с протоколом IEC 61162 (NMEA-0183).</w:t>
            </w:r>
          </w:p>
          <w:p w:rsidR="002373E7" w:rsidRPr="00DB2A6D"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14</w:t>
            </w:r>
            <w:r w:rsidRPr="00DB2A6D">
              <w:rPr>
                <w:sz w:val="20"/>
                <w:szCs w:val="20"/>
              </w:rPr>
              <w:t>. Поддержка доменного имени в качестве адреса сервера;</w:t>
            </w:r>
          </w:p>
          <w:p w:rsidR="002373E7" w:rsidRPr="00DB2A6D" w:rsidRDefault="002373E7" w:rsidP="00E94473">
            <w:pPr>
              <w:pStyle w:val="a3"/>
              <w:suppressAutoHyphens/>
              <w:ind w:left="0"/>
              <w:contextualSpacing w:val="0"/>
              <w:rPr>
                <w:sz w:val="20"/>
                <w:szCs w:val="20"/>
              </w:rPr>
            </w:pPr>
          </w:p>
          <w:p w:rsidR="002373E7" w:rsidRPr="00DB2A6D" w:rsidRDefault="002373E7" w:rsidP="00E94473">
            <w:pPr>
              <w:pStyle w:val="a3"/>
              <w:suppressAutoHyphens/>
              <w:ind w:left="0"/>
              <w:contextualSpacing w:val="0"/>
              <w:rPr>
                <w:sz w:val="20"/>
                <w:szCs w:val="20"/>
              </w:rPr>
            </w:pPr>
            <w:r>
              <w:rPr>
                <w:sz w:val="20"/>
                <w:szCs w:val="20"/>
              </w:rPr>
              <w:t>15</w:t>
            </w:r>
            <w:r w:rsidRPr="00DB2A6D">
              <w:rPr>
                <w:sz w:val="20"/>
                <w:szCs w:val="20"/>
              </w:rPr>
              <w:t>. Абонентский терминал обеспечивает возможность подключения дополнительного оборудования диспетчерского управления:</w:t>
            </w:r>
          </w:p>
          <w:p w:rsidR="002373E7" w:rsidRPr="00DB2A6D" w:rsidRDefault="002373E7" w:rsidP="002373E7">
            <w:pPr>
              <w:pStyle w:val="a3"/>
              <w:numPr>
                <w:ilvl w:val="0"/>
                <w:numId w:val="7"/>
              </w:numPr>
              <w:suppressAutoHyphens/>
              <w:contextualSpacing w:val="0"/>
              <w:rPr>
                <w:sz w:val="20"/>
                <w:szCs w:val="20"/>
              </w:rPr>
            </w:pPr>
            <w:r w:rsidRPr="00DB2A6D">
              <w:rPr>
                <w:sz w:val="20"/>
                <w:szCs w:val="20"/>
              </w:rPr>
              <w:t xml:space="preserve">Датчика уровня топлива - датчик уровня топлива </w:t>
            </w:r>
            <w:r w:rsidRPr="00DB2A6D">
              <w:rPr>
                <w:sz w:val="20"/>
                <w:szCs w:val="20"/>
              </w:rPr>
              <w:lastRenderedPageBreak/>
              <w:t>используется для измерения уровня топлива в баке транспортного средства;</w:t>
            </w:r>
          </w:p>
          <w:p w:rsidR="002373E7" w:rsidRPr="007F31F5" w:rsidRDefault="002373E7" w:rsidP="002373E7">
            <w:pPr>
              <w:pStyle w:val="a3"/>
              <w:numPr>
                <w:ilvl w:val="0"/>
                <w:numId w:val="7"/>
              </w:numPr>
              <w:suppressAutoHyphens/>
              <w:contextualSpacing w:val="0"/>
              <w:rPr>
                <w:b/>
                <w:sz w:val="20"/>
                <w:szCs w:val="20"/>
              </w:rPr>
            </w:pPr>
            <w:r w:rsidRPr="00DB2A6D">
              <w:rPr>
                <w:sz w:val="20"/>
                <w:szCs w:val="20"/>
              </w:rPr>
              <w:t>Дополнительных устройств диспетчерского управления, контроля и мониторинга.</w:t>
            </w:r>
          </w:p>
          <w:p w:rsidR="002373E7" w:rsidRPr="00A22D29" w:rsidRDefault="002373E7" w:rsidP="00E94473">
            <w:pPr>
              <w:pStyle w:val="a3"/>
              <w:suppressAutoHyphens/>
              <w:ind w:left="360"/>
              <w:contextualSpacing w:val="0"/>
              <w:rPr>
                <w:b/>
                <w:sz w:val="20"/>
                <w:szCs w:val="20"/>
              </w:rPr>
            </w:pPr>
          </w:p>
          <w:p w:rsidR="002373E7" w:rsidRDefault="002373E7" w:rsidP="00E94473">
            <w:pPr>
              <w:pStyle w:val="a3"/>
              <w:suppressAutoHyphens/>
              <w:ind w:left="0"/>
              <w:contextualSpacing w:val="0"/>
              <w:rPr>
                <w:sz w:val="20"/>
                <w:szCs w:val="20"/>
              </w:rPr>
            </w:pPr>
            <w:r>
              <w:rPr>
                <w:sz w:val="20"/>
                <w:szCs w:val="20"/>
              </w:rPr>
              <w:t>16</w:t>
            </w:r>
            <w:r w:rsidRPr="00A22D29">
              <w:rPr>
                <w:sz w:val="20"/>
                <w:szCs w:val="20"/>
              </w:rPr>
              <w:t>. Абонентский терминал обеспечивает возможность использования интерфейсов RS232, RS485, CAN, 1-Wire</w:t>
            </w:r>
            <w:r w:rsidRPr="00DB2A6D">
              <w:rPr>
                <w:sz w:val="20"/>
                <w:szCs w:val="20"/>
              </w:rPr>
              <w:t xml:space="preserve"> для обмена данными с внешними устройствами</w:t>
            </w:r>
          </w:p>
          <w:p w:rsidR="002373E7"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p>
          <w:p w:rsidR="002373E7" w:rsidRDefault="002373E7" w:rsidP="00E94473">
            <w:pPr>
              <w:pStyle w:val="a3"/>
              <w:suppressAutoHyphens/>
              <w:ind w:left="0"/>
              <w:contextualSpacing w:val="0"/>
              <w:rPr>
                <w:sz w:val="20"/>
                <w:szCs w:val="20"/>
              </w:rPr>
            </w:pPr>
            <w:r>
              <w:rPr>
                <w:sz w:val="20"/>
                <w:szCs w:val="20"/>
              </w:rPr>
              <w:t>17</w:t>
            </w:r>
            <w:r w:rsidRPr="00DB2A6D">
              <w:rPr>
                <w:sz w:val="20"/>
                <w:szCs w:val="20"/>
              </w:rPr>
              <w:t xml:space="preserve">. Наличие </w:t>
            </w:r>
            <w:r w:rsidRPr="00DB2A6D">
              <w:rPr>
                <w:sz w:val="20"/>
                <w:szCs w:val="20"/>
                <w:lang w:val="en-US"/>
              </w:rPr>
              <w:t>USB</w:t>
            </w:r>
            <w:r w:rsidRPr="00DB2A6D">
              <w:rPr>
                <w:sz w:val="20"/>
                <w:szCs w:val="20"/>
              </w:rPr>
              <w:t xml:space="preserve"> порта для настройки и конфигурации.</w:t>
            </w:r>
          </w:p>
          <w:p w:rsidR="002373E7" w:rsidRDefault="002373E7" w:rsidP="00E94473">
            <w:pPr>
              <w:pStyle w:val="a3"/>
              <w:suppressAutoHyphens/>
              <w:ind w:left="0"/>
              <w:contextualSpacing w:val="0"/>
              <w:rPr>
                <w:sz w:val="20"/>
                <w:szCs w:val="20"/>
                <w:shd w:val="clear" w:color="auto" w:fill="FFFF00"/>
              </w:rPr>
            </w:pPr>
          </w:p>
          <w:p w:rsidR="002373E7" w:rsidRPr="00DB2A6D" w:rsidRDefault="002373E7" w:rsidP="00E94473">
            <w:pPr>
              <w:pStyle w:val="a3"/>
              <w:suppressAutoHyphens/>
              <w:ind w:left="0"/>
              <w:contextualSpacing w:val="0"/>
              <w:rPr>
                <w:sz w:val="20"/>
                <w:szCs w:val="20"/>
                <w:shd w:val="clear" w:color="auto" w:fill="FFFF00"/>
              </w:rPr>
            </w:pPr>
          </w:p>
          <w:p w:rsidR="002373E7" w:rsidRPr="007F31F5" w:rsidRDefault="002373E7" w:rsidP="00E94473">
            <w:pPr>
              <w:jc w:val="both"/>
              <w:rPr>
                <w:sz w:val="20"/>
              </w:rPr>
            </w:pPr>
            <w:r w:rsidRPr="007F31F5">
              <w:rPr>
                <w:sz w:val="20"/>
              </w:rPr>
              <w:t>18. Наличие 2 выходов сигнала автоинформатора - линейный выход и выход усилителя для непосредственного подключения громкоговорителя</w:t>
            </w:r>
          </w:p>
          <w:p w:rsidR="002373E7" w:rsidRPr="007F31F5" w:rsidRDefault="002373E7" w:rsidP="00E94473">
            <w:pPr>
              <w:jc w:val="both"/>
              <w:rPr>
                <w:sz w:val="20"/>
              </w:rPr>
            </w:pPr>
          </w:p>
          <w:p w:rsidR="002373E7" w:rsidRDefault="002373E7" w:rsidP="00E94473">
            <w:pPr>
              <w:jc w:val="both"/>
              <w:rPr>
                <w:sz w:val="20"/>
              </w:rPr>
            </w:pPr>
            <w:r w:rsidRPr="007F31F5">
              <w:rPr>
                <w:sz w:val="20"/>
              </w:rPr>
              <w:t>19. Подключение Абонентского терминала должно осуществляться от зажигания (постоянного источника тока). Датчик зажигания входит в состав Комплекта аппаратно-программного навигационного комплекса.</w:t>
            </w:r>
          </w:p>
          <w:p w:rsidR="002373E7" w:rsidRDefault="002373E7" w:rsidP="00E94473">
            <w:pPr>
              <w:jc w:val="both"/>
              <w:rPr>
                <w:sz w:val="20"/>
              </w:rPr>
            </w:pPr>
          </w:p>
          <w:p w:rsidR="002373E7" w:rsidRPr="00DB2A6D" w:rsidRDefault="002373E7" w:rsidP="00E94473">
            <w:pPr>
              <w:jc w:val="both"/>
            </w:pPr>
          </w:p>
        </w:tc>
        <w:tc>
          <w:tcPr>
            <w:tcW w:w="709" w:type="dxa"/>
            <w:vMerge/>
          </w:tcPr>
          <w:p w:rsidR="002373E7" w:rsidRPr="00C40B16" w:rsidRDefault="002373E7" w:rsidP="00E94473">
            <w:pPr>
              <w:jc w:val="center"/>
              <w:rPr>
                <w:b/>
              </w:rPr>
            </w:pPr>
          </w:p>
        </w:tc>
        <w:tc>
          <w:tcPr>
            <w:tcW w:w="1701" w:type="dxa"/>
            <w:vMerge/>
          </w:tcPr>
          <w:p w:rsidR="002373E7" w:rsidRPr="00C40B16" w:rsidRDefault="002373E7" w:rsidP="00E94473">
            <w:pPr>
              <w:jc w:val="center"/>
              <w:rPr>
                <w:b/>
              </w:rPr>
            </w:pPr>
          </w:p>
        </w:tc>
        <w:tc>
          <w:tcPr>
            <w:tcW w:w="851" w:type="dxa"/>
            <w:vMerge/>
          </w:tcPr>
          <w:p w:rsidR="002373E7" w:rsidRPr="00C40B16" w:rsidRDefault="002373E7" w:rsidP="00E94473">
            <w:pPr>
              <w:jc w:val="center"/>
              <w:rPr>
                <w:b/>
              </w:rPr>
            </w:pPr>
          </w:p>
        </w:tc>
        <w:tc>
          <w:tcPr>
            <w:tcW w:w="4819" w:type="dxa"/>
            <w:vMerge/>
          </w:tcPr>
          <w:p w:rsidR="002373E7" w:rsidRPr="00570232" w:rsidRDefault="002373E7" w:rsidP="00E94473">
            <w:pPr>
              <w:jc w:val="both"/>
            </w:pPr>
          </w:p>
        </w:tc>
      </w:tr>
      <w:tr w:rsidR="002373E7" w:rsidRPr="00C40B16" w:rsidTr="00E94473">
        <w:trPr>
          <w:trHeight w:val="374"/>
        </w:trPr>
        <w:tc>
          <w:tcPr>
            <w:tcW w:w="534" w:type="dxa"/>
            <w:vMerge/>
            <w:tcBorders>
              <w:top w:val="nil"/>
            </w:tcBorders>
          </w:tcPr>
          <w:p w:rsidR="002373E7" w:rsidRPr="00C40B16" w:rsidRDefault="002373E7" w:rsidP="00E94473">
            <w:pPr>
              <w:jc w:val="both"/>
              <w:rPr>
                <w:sz w:val="16"/>
                <w:szCs w:val="16"/>
              </w:rPr>
            </w:pPr>
          </w:p>
        </w:tc>
        <w:tc>
          <w:tcPr>
            <w:tcW w:w="1275" w:type="dxa"/>
            <w:vMerge/>
            <w:tcBorders>
              <w:top w:val="nil"/>
            </w:tcBorders>
          </w:tcPr>
          <w:p w:rsidR="002373E7" w:rsidRPr="00C40B16" w:rsidRDefault="002373E7" w:rsidP="00E94473">
            <w:pPr>
              <w:jc w:val="center"/>
              <w:rPr>
                <w:b/>
              </w:rPr>
            </w:pPr>
          </w:p>
        </w:tc>
        <w:tc>
          <w:tcPr>
            <w:tcW w:w="5103" w:type="dxa"/>
            <w:gridSpan w:val="2"/>
          </w:tcPr>
          <w:p w:rsidR="002373E7" w:rsidRPr="007F31F5" w:rsidRDefault="002373E7" w:rsidP="00E94473">
            <w:pPr>
              <w:jc w:val="both"/>
              <w:rPr>
                <w:b/>
                <w:sz w:val="22"/>
              </w:rPr>
            </w:pPr>
            <w:r w:rsidRPr="007F31F5">
              <w:rPr>
                <w:b/>
                <w:sz w:val="22"/>
              </w:rPr>
              <w:t>Показатели, указанные в диапазоне:</w:t>
            </w:r>
          </w:p>
          <w:p w:rsidR="002373E7" w:rsidRPr="00DB2A6D" w:rsidRDefault="002373E7" w:rsidP="00E94473">
            <w:pPr>
              <w:pStyle w:val="a3"/>
              <w:suppressAutoHyphens/>
              <w:ind w:left="0"/>
              <w:contextualSpacing w:val="0"/>
              <w:rPr>
                <w:sz w:val="20"/>
                <w:szCs w:val="20"/>
              </w:rPr>
            </w:pPr>
            <w:r w:rsidRPr="00DB2A6D">
              <w:rPr>
                <w:sz w:val="20"/>
                <w:szCs w:val="20"/>
              </w:rPr>
              <w:t>1. Система электропитания абонентского терминала удовлетворяет следующим требованиям:</w:t>
            </w:r>
          </w:p>
          <w:p w:rsidR="002373E7" w:rsidRPr="00DB2A6D" w:rsidRDefault="002373E7" w:rsidP="002373E7">
            <w:pPr>
              <w:pStyle w:val="a3"/>
              <w:numPr>
                <w:ilvl w:val="0"/>
                <w:numId w:val="14"/>
              </w:numPr>
              <w:rPr>
                <w:sz w:val="20"/>
                <w:szCs w:val="20"/>
              </w:rPr>
            </w:pPr>
            <w:r w:rsidRPr="00DB2A6D">
              <w:rPr>
                <w:sz w:val="20"/>
                <w:szCs w:val="20"/>
              </w:rPr>
              <w:t>Диапазон напряжения питания от бортовой сети постоянного тока: минимальное значение не более 9, максимальное значение не менее 39 В.</w:t>
            </w:r>
          </w:p>
        </w:tc>
        <w:tc>
          <w:tcPr>
            <w:tcW w:w="709" w:type="dxa"/>
            <w:vMerge/>
          </w:tcPr>
          <w:p w:rsidR="002373E7" w:rsidRPr="00C40B16" w:rsidRDefault="002373E7" w:rsidP="00E94473">
            <w:pPr>
              <w:jc w:val="center"/>
              <w:rPr>
                <w:b/>
              </w:rPr>
            </w:pPr>
          </w:p>
        </w:tc>
        <w:tc>
          <w:tcPr>
            <w:tcW w:w="1701" w:type="dxa"/>
            <w:vMerge/>
          </w:tcPr>
          <w:p w:rsidR="002373E7" w:rsidRPr="00C40B16" w:rsidRDefault="002373E7" w:rsidP="00E94473">
            <w:pPr>
              <w:jc w:val="center"/>
              <w:rPr>
                <w:b/>
              </w:rPr>
            </w:pPr>
          </w:p>
        </w:tc>
        <w:tc>
          <w:tcPr>
            <w:tcW w:w="851" w:type="dxa"/>
            <w:vMerge/>
          </w:tcPr>
          <w:p w:rsidR="002373E7" w:rsidRPr="00C40B16" w:rsidRDefault="002373E7" w:rsidP="00E94473">
            <w:pPr>
              <w:jc w:val="center"/>
              <w:rPr>
                <w:b/>
              </w:rPr>
            </w:pPr>
          </w:p>
        </w:tc>
        <w:tc>
          <w:tcPr>
            <w:tcW w:w="4819" w:type="dxa"/>
            <w:vMerge/>
          </w:tcPr>
          <w:p w:rsidR="002373E7" w:rsidRPr="00570232" w:rsidRDefault="002373E7" w:rsidP="00E94473">
            <w:pPr>
              <w:jc w:val="both"/>
            </w:pPr>
          </w:p>
        </w:tc>
      </w:tr>
    </w:tbl>
    <w:p w:rsidR="002373E7" w:rsidRDefault="002373E7" w:rsidP="002373E7">
      <w:pPr>
        <w:jc w:val="right"/>
      </w:pPr>
    </w:p>
    <w:p w:rsidR="000554B0" w:rsidRDefault="000554B0"/>
    <w:sectPr w:rsidR="000554B0" w:rsidSect="002373E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94200E3A"/>
    <w:name w:val="WW8Num5"/>
    <w:lvl w:ilvl="0">
      <w:start w:val="1"/>
      <w:numFmt w:val="decimal"/>
      <w:lvlText w:val="%1."/>
      <w:lvlJc w:val="left"/>
      <w:pPr>
        <w:tabs>
          <w:tab w:val="num" w:pos="0"/>
        </w:tabs>
        <w:ind w:left="720" w:hanging="360"/>
      </w:pPr>
      <w:rPr>
        <w:rFonts w:cs="Times New Roman"/>
        <w:b w:val="0"/>
      </w:rPr>
    </w:lvl>
  </w:abstractNum>
  <w:abstractNum w:abstractNumId="1">
    <w:nsid w:val="04B70E23"/>
    <w:multiLevelType w:val="hybridMultilevel"/>
    <w:tmpl w:val="74266616"/>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201B47"/>
    <w:multiLevelType w:val="hybridMultilevel"/>
    <w:tmpl w:val="74266616"/>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17FDA"/>
    <w:multiLevelType w:val="hybridMultilevel"/>
    <w:tmpl w:val="A6F6C1B8"/>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191E50"/>
    <w:multiLevelType w:val="hybridMultilevel"/>
    <w:tmpl w:val="A6F6C1B8"/>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072533"/>
    <w:multiLevelType w:val="hybridMultilevel"/>
    <w:tmpl w:val="A6F6C1B8"/>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3C0FDF"/>
    <w:multiLevelType w:val="hybridMultilevel"/>
    <w:tmpl w:val="A6F6C1B8"/>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4021E4"/>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6B0C8C"/>
    <w:multiLevelType w:val="hybridMultilevel"/>
    <w:tmpl w:val="40DCA4A2"/>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AB0FC8"/>
    <w:multiLevelType w:val="hybridMultilevel"/>
    <w:tmpl w:val="4DCA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B2614"/>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5133E2"/>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DC6D5B"/>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00E2A1C"/>
    <w:multiLevelType w:val="hybridMultilevel"/>
    <w:tmpl w:val="C2CA3716"/>
    <w:lvl w:ilvl="0" w:tplc="F3103A9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621516"/>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8488B"/>
    <w:multiLevelType w:val="hybridMultilevel"/>
    <w:tmpl w:val="40DCA4A2"/>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760E65"/>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B1526D"/>
    <w:multiLevelType w:val="hybridMultilevel"/>
    <w:tmpl w:val="A6F6C1B8"/>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BF66A8"/>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73F2957"/>
    <w:multiLevelType w:val="hybridMultilevel"/>
    <w:tmpl w:val="0896D85A"/>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B084D18"/>
    <w:multiLevelType w:val="hybridMultilevel"/>
    <w:tmpl w:val="647C5082"/>
    <w:lvl w:ilvl="0" w:tplc="E15C03C8">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FD74DAF"/>
    <w:multiLevelType w:val="hybridMultilevel"/>
    <w:tmpl w:val="40DCA4A2"/>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8B2E60"/>
    <w:multiLevelType w:val="hybridMultilevel"/>
    <w:tmpl w:val="A6F6C1B8"/>
    <w:lvl w:ilvl="0" w:tplc="4E929B4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21"/>
  </w:num>
  <w:num w:numId="4">
    <w:abstractNumId w:val="2"/>
  </w:num>
  <w:num w:numId="5">
    <w:abstractNumId w:val="18"/>
  </w:num>
  <w:num w:numId="6">
    <w:abstractNumId w:val="17"/>
  </w:num>
  <w:num w:numId="7">
    <w:abstractNumId w:val="20"/>
  </w:num>
  <w:num w:numId="8">
    <w:abstractNumId w:val="10"/>
  </w:num>
  <w:num w:numId="9">
    <w:abstractNumId w:val="12"/>
  </w:num>
  <w:num w:numId="10">
    <w:abstractNumId w:val="16"/>
  </w:num>
  <w:num w:numId="11">
    <w:abstractNumId w:val="3"/>
  </w:num>
  <w:num w:numId="12">
    <w:abstractNumId w:val="5"/>
  </w:num>
  <w:num w:numId="13">
    <w:abstractNumId w:val="19"/>
  </w:num>
  <w:num w:numId="14">
    <w:abstractNumId w:val="8"/>
  </w:num>
  <w:num w:numId="15">
    <w:abstractNumId w:val="14"/>
  </w:num>
  <w:num w:numId="16">
    <w:abstractNumId w:val="22"/>
  </w:num>
  <w:num w:numId="17">
    <w:abstractNumId w:val="13"/>
  </w:num>
  <w:num w:numId="18">
    <w:abstractNumId w:val="11"/>
  </w:num>
  <w:num w:numId="19">
    <w:abstractNumId w:val="7"/>
  </w:num>
  <w:num w:numId="20">
    <w:abstractNumId w:val="4"/>
  </w:num>
  <w:num w:numId="21">
    <w:abstractNumId w:val="6"/>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E7"/>
    <w:rsid w:val="000554B0"/>
    <w:rsid w:val="002373E7"/>
    <w:rsid w:val="00C1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1099B-C5B2-4FAB-90AC-F7DB32FD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73E7"/>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3E7"/>
    <w:pPr>
      <w:ind w:left="720"/>
      <w:contextualSpacing/>
    </w:pPr>
  </w:style>
  <w:style w:type="character" w:customStyle="1" w:styleId="11">
    <w:name w:val="Знак примечания1"/>
    <w:rsid w:val="002373E7"/>
    <w:rPr>
      <w:sz w:val="16"/>
      <w:szCs w:val="16"/>
    </w:rPr>
  </w:style>
  <w:style w:type="character" w:customStyle="1" w:styleId="10">
    <w:name w:val="Заголовок 1 Знак"/>
    <w:basedOn w:val="a0"/>
    <w:link w:val="1"/>
    <w:uiPriority w:val="99"/>
    <w:rsid w:val="002373E7"/>
    <w:rPr>
      <w:rFonts w:ascii="Arial" w:eastAsiaTheme="minorEastAsia" w:hAnsi="Arial" w:cs="Arial"/>
      <w:b/>
      <w:bCs/>
      <w:color w:val="26282F"/>
      <w:sz w:val="24"/>
      <w:szCs w:val="24"/>
      <w:lang w:eastAsia="ru-RU"/>
    </w:rPr>
  </w:style>
  <w:style w:type="character" w:customStyle="1" w:styleId="a4">
    <w:name w:val="Гипертекстовая ссылка"/>
    <w:basedOn w:val="a0"/>
    <w:uiPriority w:val="99"/>
    <w:rsid w:val="002373E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160474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Елимбаев Аманжол Турсунович</dc:creator>
  <cp:lastModifiedBy>Коновалова Анастасия Сергеевна</cp:lastModifiedBy>
  <cp:revision>2</cp:revision>
  <dcterms:created xsi:type="dcterms:W3CDTF">2016-01-19T13:08:00Z</dcterms:created>
  <dcterms:modified xsi:type="dcterms:W3CDTF">2016-02-03T10:24:00Z</dcterms:modified>
</cp:coreProperties>
</file>